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36E8D" w14:textId="77777777" w:rsidR="004C2E65" w:rsidRDefault="004C2E65" w:rsidP="004C2E65">
      <w:pPr>
        <w:jc w:val="center"/>
        <w:rPr>
          <w:sz w:val="28"/>
          <w:szCs w:val="28"/>
        </w:rPr>
      </w:pPr>
      <w:bookmarkStart w:id="0" w:name="_GoBack"/>
      <w:bookmarkEnd w:id="0"/>
    </w:p>
    <w:p w14:paraId="01C36E8E" w14:textId="77777777" w:rsidR="004C2E65" w:rsidRDefault="004C2E65" w:rsidP="004C2E65">
      <w:pPr>
        <w:jc w:val="center"/>
        <w:rPr>
          <w:sz w:val="28"/>
          <w:szCs w:val="28"/>
        </w:rPr>
      </w:pPr>
    </w:p>
    <w:p w14:paraId="01C36E8F" w14:textId="77777777" w:rsidR="004C2E65" w:rsidRDefault="004C2E65" w:rsidP="004C2E65">
      <w:pPr>
        <w:jc w:val="center"/>
        <w:rPr>
          <w:sz w:val="28"/>
          <w:szCs w:val="28"/>
        </w:rPr>
      </w:pPr>
    </w:p>
    <w:p w14:paraId="01C36E90" w14:textId="77777777" w:rsidR="004C2E65" w:rsidRDefault="004C2E65" w:rsidP="004C2E65">
      <w:pPr>
        <w:jc w:val="center"/>
        <w:rPr>
          <w:sz w:val="28"/>
          <w:szCs w:val="28"/>
        </w:rPr>
      </w:pPr>
    </w:p>
    <w:p w14:paraId="01C36E91" w14:textId="77777777" w:rsidR="004C2E65" w:rsidRDefault="004C2E65" w:rsidP="004C2E65">
      <w:pPr>
        <w:jc w:val="center"/>
        <w:rPr>
          <w:sz w:val="28"/>
          <w:szCs w:val="28"/>
        </w:rPr>
      </w:pPr>
    </w:p>
    <w:p w14:paraId="01C36E92" w14:textId="77777777" w:rsidR="004C2E65" w:rsidRDefault="004C2E65" w:rsidP="004C2E65">
      <w:pPr>
        <w:jc w:val="center"/>
        <w:rPr>
          <w:sz w:val="28"/>
          <w:szCs w:val="28"/>
        </w:rPr>
      </w:pPr>
    </w:p>
    <w:p w14:paraId="34F87EA0" w14:textId="6E1EBCF6" w:rsidR="00F75834" w:rsidRPr="00F75834" w:rsidRDefault="00F75834" w:rsidP="00F75834">
      <w:pPr>
        <w:jc w:val="center"/>
        <w:rPr>
          <w:rFonts w:eastAsia="Calibri"/>
          <w:sz w:val="28"/>
          <w:szCs w:val="28"/>
          <w:lang w:val="de-DE"/>
        </w:rPr>
      </w:pPr>
      <w:r w:rsidRPr="00F75834">
        <w:rPr>
          <w:rFonts w:eastAsia="Calibri"/>
          <w:sz w:val="28"/>
          <w:szCs w:val="28"/>
          <w:lang w:val="de-DE"/>
        </w:rPr>
        <w:t>ENV70</w:t>
      </w:r>
    </w:p>
    <w:p w14:paraId="3C1E952B" w14:textId="77777777" w:rsidR="00F75834" w:rsidRPr="00F75834" w:rsidRDefault="00F75834" w:rsidP="00F75834">
      <w:pPr>
        <w:jc w:val="center"/>
        <w:rPr>
          <w:rFonts w:eastAsia="Calibri"/>
          <w:sz w:val="28"/>
          <w:szCs w:val="28"/>
          <w:lang w:val="de-DE"/>
        </w:rPr>
      </w:pPr>
      <w:r w:rsidRPr="00F75834">
        <w:rPr>
          <w:rFonts w:eastAsia="Calibri"/>
          <w:sz w:val="28"/>
          <w:szCs w:val="28"/>
          <w:lang w:val="de-DE"/>
        </w:rPr>
        <w:t>Globale Umweltspezifikationen für Produkte und Komponenten</w:t>
      </w:r>
    </w:p>
    <w:p w14:paraId="01C36E96" w14:textId="7C4D72AD" w:rsidR="004C2E65" w:rsidRDefault="00F75834" w:rsidP="00F75834">
      <w:pPr>
        <w:tabs>
          <w:tab w:val="left" w:pos="3456"/>
          <w:tab w:val="center" w:pos="4680"/>
        </w:tabs>
        <w:jc w:val="center"/>
        <w:rPr>
          <w:b/>
        </w:rPr>
      </w:pPr>
      <w:r w:rsidRPr="00F75834">
        <w:rPr>
          <w:rFonts w:eastAsia="Calibri"/>
          <w:sz w:val="28"/>
          <w:szCs w:val="28"/>
        </w:rPr>
        <w:t>(GPCSE)</w:t>
      </w:r>
    </w:p>
    <w:p w14:paraId="01C36E97" w14:textId="77777777" w:rsidR="004C2E65" w:rsidRDefault="004C2E65">
      <w:pPr>
        <w:rPr>
          <w:b/>
        </w:rPr>
      </w:pPr>
      <w:r>
        <w:rPr>
          <w:b/>
        </w:rPr>
        <w:br w:type="page"/>
      </w:r>
    </w:p>
    <w:p w14:paraId="01C36E98" w14:textId="77777777" w:rsidR="004C2E65" w:rsidRPr="004C2E65" w:rsidRDefault="004C2E65">
      <w:pPr>
        <w:rPr>
          <w:b/>
        </w:rPr>
      </w:pPr>
    </w:p>
    <w:sdt>
      <w:sdtPr>
        <w:rPr>
          <w:rFonts w:ascii="Arial" w:eastAsiaTheme="minorHAnsi" w:hAnsi="Arial" w:cs="Arial"/>
          <w:b w:val="0"/>
          <w:bCs w:val="0"/>
          <w:color w:val="auto"/>
          <w:sz w:val="22"/>
          <w:szCs w:val="22"/>
        </w:rPr>
        <w:id w:val="22768706"/>
        <w:docPartObj>
          <w:docPartGallery w:val="Table of Contents"/>
          <w:docPartUnique/>
        </w:docPartObj>
      </w:sdtPr>
      <w:sdtEndPr/>
      <w:sdtContent>
        <w:p w14:paraId="01C36E99" w14:textId="77777777" w:rsidR="004C2E65" w:rsidRDefault="004C2E65">
          <w:pPr>
            <w:pStyle w:val="TOCHeading"/>
          </w:pPr>
          <w:r>
            <w:t>Contents</w:t>
          </w:r>
        </w:p>
        <w:p w14:paraId="77F5F88A" w14:textId="3EC71D82" w:rsidR="00767927" w:rsidRDefault="00CF3AE4">
          <w:pPr>
            <w:pStyle w:val="TOC1"/>
            <w:tabs>
              <w:tab w:val="right" w:leader="dot" w:pos="9350"/>
            </w:tabs>
            <w:rPr>
              <w:rFonts w:asciiTheme="minorHAnsi" w:eastAsiaTheme="minorEastAsia" w:hAnsiTheme="minorHAnsi" w:cstheme="minorBidi"/>
              <w:noProof/>
            </w:rPr>
          </w:pPr>
          <w:r>
            <w:fldChar w:fldCharType="begin"/>
          </w:r>
          <w:r w:rsidR="004C2E65">
            <w:instrText xml:space="preserve"> TOC \o "1-3" \h \z \u </w:instrText>
          </w:r>
          <w:r>
            <w:fldChar w:fldCharType="separate"/>
          </w:r>
          <w:hyperlink w:anchor="_Toc535403699" w:history="1">
            <w:r w:rsidR="00767927" w:rsidRPr="008B79FB">
              <w:rPr>
                <w:rStyle w:val="Hyperlink"/>
                <w:noProof/>
              </w:rPr>
              <w:t>1. Zweck der GPCSE</w:t>
            </w:r>
            <w:r w:rsidR="00767927">
              <w:rPr>
                <w:noProof/>
                <w:webHidden/>
              </w:rPr>
              <w:tab/>
            </w:r>
            <w:r w:rsidR="00767927">
              <w:rPr>
                <w:noProof/>
                <w:webHidden/>
              </w:rPr>
              <w:fldChar w:fldCharType="begin"/>
            </w:r>
            <w:r w:rsidR="00767927">
              <w:rPr>
                <w:noProof/>
                <w:webHidden/>
              </w:rPr>
              <w:instrText xml:space="preserve"> PAGEREF _Toc535403699 \h </w:instrText>
            </w:r>
            <w:r w:rsidR="00767927">
              <w:rPr>
                <w:noProof/>
                <w:webHidden/>
              </w:rPr>
            </w:r>
            <w:r w:rsidR="00767927">
              <w:rPr>
                <w:noProof/>
                <w:webHidden/>
              </w:rPr>
              <w:fldChar w:fldCharType="separate"/>
            </w:r>
            <w:r w:rsidR="00623AED">
              <w:rPr>
                <w:noProof/>
                <w:webHidden/>
              </w:rPr>
              <w:t>3</w:t>
            </w:r>
            <w:r w:rsidR="00767927">
              <w:rPr>
                <w:noProof/>
                <w:webHidden/>
              </w:rPr>
              <w:fldChar w:fldCharType="end"/>
            </w:r>
          </w:hyperlink>
        </w:p>
        <w:p w14:paraId="324CB58D" w14:textId="32C98EDF" w:rsidR="00767927" w:rsidRDefault="0093177E">
          <w:pPr>
            <w:pStyle w:val="TOC1"/>
            <w:tabs>
              <w:tab w:val="right" w:leader="dot" w:pos="9350"/>
            </w:tabs>
            <w:rPr>
              <w:rFonts w:asciiTheme="minorHAnsi" w:eastAsiaTheme="minorEastAsia" w:hAnsiTheme="minorHAnsi" w:cstheme="minorBidi"/>
              <w:noProof/>
            </w:rPr>
          </w:pPr>
          <w:hyperlink w:anchor="_Toc535403700" w:history="1">
            <w:r w:rsidR="00767927" w:rsidRPr="008B79FB">
              <w:rPr>
                <w:rStyle w:val="Hyperlink"/>
                <w:noProof/>
              </w:rPr>
              <w:t>2. Stoffeinschränkungen und Meldepflichten</w:t>
            </w:r>
            <w:r w:rsidR="00767927">
              <w:rPr>
                <w:noProof/>
                <w:webHidden/>
              </w:rPr>
              <w:tab/>
            </w:r>
            <w:r w:rsidR="00767927">
              <w:rPr>
                <w:noProof/>
                <w:webHidden/>
              </w:rPr>
              <w:fldChar w:fldCharType="begin"/>
            </w:r>
            <w:r w:rsidR="00767927">
              <w:rPr>
                <w:noProof/>
                <w:webHidden/>
              </w:rPr>
              <w:instrText xml:space="preserve"> PAGEREF _Toc535403700 \h </w:instrText>
            </w:r>
            <w:r w:rsidR="00767927">
              <w:rPr>
                <w:noProof/>
                <w:webHidden/>
              </w:rPr>
            </w:r>
            <w:r w:rsidR="00767927">
              <w:rPr>
                <w:noProof/>
                <w:webHidden/>
              </w:rPr>
              <w:fldChar w:fldCharType="separate"/>
            </w:r>
            <w:r w:rsidR="00623AED">
              <w:rPr>
                <w:noProof/>
                <w:webHidden/>
              </w:rPr>
              <w:t>4</w:t>
            </w:r>
            <w:r w:rsidR="00767927">
              <w:rPr>
                <w:noProof/>
                <w:webHidden/>
              </w:rPr>
              <w:fldChar w:fldCharType="end"/>
            </w:r>
          </w:hyperlink>
        </w:p>
        <w:p w14:paraId="43DDBFF5" w14:textId="563B4757" w:rsidR="00767927" w:rsidRDefault="0093177E">
          <w:pPr>
            <w:pStyle w:val="TOC1"/>
            <w:tabs>
              <w:tab w:val="right" w:leader="dot" w:pos="9350"/>
            </w:tabs>
            <w:rPr>
              <w:rFonts w:asciiTheme="minorHAnsi" w:eastAsiaTheme="minorEastAsia" w:hAnsiTheme="minorHAnsi" w:cstheme="minorBidi"/>
              <w:noProof/>
            </w:rPr>
          </w:pPr>
          <w:hyperlink w:anchor="_Toc535403701" w:history="1">
            <w:r w:rsidR="00767927" w:rsidRPr="008B79FB">
              <w:rPr>
                <w:rStyle w:val="Hyperlink"/>
                <w:noProof/>
              </w:rPr>
              <w:t>3. Latest Revision Changes</w:t>
            </w:r>
            <w:r w:rsidR="00767927">
              <w:rPr>
                <w:noProof/>
                <w:webHidden/>
              </w:rPr>
              <w:tab/>
            </w:r>
            <w:r w:rsidR="00767927">
              <w:rPr>
                <w:noProof/>
                <w:webHidden/>
              </w:rPr>
              <w:fldChar w:fldCharType="begin"/>
            </w:r>
            <w:r w:rsidR="00767927">
              <w:rPr>
                <w:noProof/>
                <w:webHidden/>
              </w:rPr>
              <w:instrText xml:space="preserve"> PAGEREF _Toc535403701 \h </w:instrText>
            </w:r>
            <w:r w:rsidR="00767927">
              <w:rPr>
                <w:noProof/>
                <w:webHidden/>
              </w:rPr>
            </w:r>
            <w:r w:rsidR="00767927">
              <w:rPr>
                <w:noProof/>
                <w:webHidden/>
              </w:rPr>
              <w:fldChar w:fldCharType="separate"/>
            </w:r>
            <w:r w:rsidR="00623AED">
              <w:rPr>
                <w:noProof/>
                <w:webHidden/>
              </w:rPr>
              <w:t>14</w:t>
            </w:r>
            <w:r w:rsidR="00767927">
              <w:rPr>
                <w:noProof/>
                <w:webHidden/>
              </w:rPr>
              <w:fldChar w:fldCharType="end"/>
            </w:r>
          </w:hyperlink>
        </w:p>
        <w:p w14:paraId="2D19FCC3" w14:textId="6039C33D" w:rsidR="00767927" w:rsidRDefault="0093177E">
          <w:pPr>
            <w:pStyle w:val="TOC1"/>
            <w:tabs>
              <w:tab w:val="right" w:leader="dot" w:pos="9350"/>
            </w:tabs>
            <w:rPr>
              <w:rFonts w:asciiTheme="minorHAnsi" w:eastAsiaTheme="minorEastAsia" w:hAnsiTheme="minorHAnsi" w:cstheme="minorBidi"/>
              <w:noProof/>
            </w:rPr>
          </w:pPr>
          <w:hyperlink w:anchor="_Toc535403702" w:history="1">
            <w:r w:rsidR="00767927" w:rsidRPr="008B79FB">
              <w:rPr>
                <w:rStyle w:val="Hyperlink"/>
                <w:noProof/>
              </w:rPr>
              <w:t>4. Anweisungen für Arbeitsblatt Stoffangaben</w:t>
            </w:r>
            <w:r w:rsidR="00767927">
              <w:rPr>
                <w:noProof/>
                <w:webHidden/>
              </w:rPr>
              <w:tab/>
            </w:r>
            <w:r w:rsidR="00767927">
              <w:rPr>
                <w:noProof/>
                <w:webHidden/>
              </w:rPr>
              <w:fldChar w:fldCharType="begin"/>
            </w:r>
            <w:r w:rsidR="00767927">
              <w:rPr>
                <w:noProof/>
                <w:webHidden/>
              </w:rPr>
              <w:instrText xml:space="preserve"> PAGEREF _Toc535403702 \h </w:instrText>
            </w:r>
            <w:r w:rsidR="00767927">
              <w:rPr>
                <w:noProof/>
                <w:webHidden/>
              </w:rPr>
            </w:r>
            <w:r w:rsidR="00767927">
              <w:rPr>
                <w:noProof/>
                <w:webHidden/>
              </w:rPr>
              <w:fldChar w:fldCharType="separate"/>
            </w:r>
            <w:r w:rsidR="00623AED">
              <w:rPr>
                <w:noProof/>
                <w:webHidden/>
              </w:rPr>
              <w:t>15</w:t>
            </w:r>
            <w:r w:rsidR="00767927">
              <w:rPr>
                <w:noProof/>
                <w:webHidden/>
              </w:rPr>
              <w:fldChar w:fldCharType="end"/>
            </w:r>
          </w:hyperlink>
        </w:p>
        <w:p w14:paraId="590287C0" w14:textId="3852BD0D" w:rsidR="00767927" w:rsidRDefault="0093177E">
          <w:pPr>
            <w:pStyle w:val="TOC1"/>
            <w:tabs>
              <w:tab w:val="right" w:leader="dot" w:pos="9350"/>
            </w:tabs>
            <w:rPr>
              <w:rFonts w:asciiTheme="minorHAnsi" w:eastAsiaTheme="minorEastAsia" w:hAnsiTheme="minorHAnsi" w:cstheme="minorBidi"/>
              <w:noProof/>
            </w:rPr>
          </w:pPr>
          <w:hyperlink w:anchor="_Toc535403703" w:history="1">
            <w:r w:rsidR="00767927" w:rsidRPr="008B79FB">
              <w:rPr>
                <w:rStyle w:val="Hyperlink"/>
                <w:rFonts w:eastAsia="Calibri"/>
                <w:noProof/>
              </w:rPr>
              <w:t>Arbeitsblatt Stoffangaben für GPCSE</w:t>
            </w:r>
            <w:r w:rsidR="00767927">
              <w:rPr>
                <w:noProof/>
                <w:webHidden/>
              </w:rPr>
              <w:tab/>
            </w:r>
            <w:r w:rsidR="00767927">
              <w:rPr>
                <w:noProof/>
                <w:webHidden/>
              </w:rPr>
              <w:fldChar w:fldCharType="begin"/>
            </w:r>
            <w:r w:rsidR="00767927">
              <w:rPr>
                <w:noProof/>
                <w:webHidden/>
              </w:rPr>
              <w:instrText xml:space="preserve"> PAGEREF _Toc535403703 \h </w:instrText>
            </w:r>
            <w:r w:rsidR="00767927">
              <w:rPr>
                <w:noProof/>
                <w:webHidden/>
              </w:rPr>
            </w:r>
            <w:r w:rsidR="00767927">
              <w:rPr>
                <w:noProof/>
                <w:webHidden/>
              </w:rPr>
              <w:fldChar w:fldCharType="separate"/>
            </w:r>
            <w:r w:rsidR="00623AED">
              <w:rPr>
                <w:noProof/>
                <w:webHidden/>
              </w:rPr>
              <w:t>17</w:t>
            </w:r>
            <w:r w:rsidR="00767927">
              <w:rPr>
                <w:noProof/>
                <w:webHidden/>
              </w:rPr>
              <w:fldChar w:fldCharType="end"/>
            </w:r>
          </w:hyperlink>
        </w:p>
        <w:p w14:paraId="01C36EA1" w14:textId="36F88AEA" w:rsidR="004C2E65" w:rsidRPr="004C2E65" w:rsidRDefault="00CF3AE4">
          <w:r>
            <w:fldChar w:fldCharType="end"/>
          </w:r>
        </w:p>
      </w:sdtContent>
    </w:sdt>
    <w:p w14:paraId="01C36EA2" w14:textId="77777777" w:rsidR="004C2E65" w:rsidRDefault="004C2E65">
      <w:pPr>
        <w:rPr>
          <w:rFonts w:eastAsiaTheme="majorEastAsia"/>
          <w:b/>
          <w:bCs/>
          <w:color w:val="365F91" w:themeColor="accent1" w:themeShade="BF"/>
          <w:sz w:val="28"/>
          <w:szCs w:val="28"/>
        </w:rPr>
      </w:pPr>
      <w:r>
        <w:br w:type="page"/>
      </w:r>
    </w:p>
    <w:p w14:paraId="01C36EA3" w14:textId="4F07B818" w:rsidR="00126EFD" w:rsidRPr="006E541E" w:rsidRDefault="004C2E65" w:rsidP="00A71187">
      <w:pPr>
        <w:pStyle w:val="Heading1"/>
        <w:spacing w:before="0" w:after="240"/>
        <w:rPr>
          <w:rFonts w:ascii="Arial" w:hAnsi="Arial" w:cs="Arial"/>
        </w:rPr>
      </w:pPr>
      <w:bookmarkStart w:id="1" w:name="_Toc535403699"/>
      <w:r>
        <w:rPr>
          <w:rFonts w:ascii="Arial" w:hAnsi="Arial" w:cs="Arial"/>
        </w:rPr>
        <w:lastRenderedPageBreak/>
        <w:t xml:space="preserve">1. </w:t>
      </w:r>
      <w:proofErr w:type="spellStart"/>
      <w:r w:rsidR="00F75834">
        <w:rPr>
          <w:rFonts w:ascii="Arial" w:hAnsi="Arial" w:cs="Arial"/>
        </w:rPr>
        <w:t>Zweck</w:t>
      </w:r>
      <w:proofErr w:type="spellEnd"/>
      <w:r w:rsidR="00F75834">
        <w:rPr>
          <w:rFonts w:ascii="Arial" w:hAnsi="Arial" w:cs="Arial"/>
        </w:rPr>
        <w:t xml:space="preserve"> der GPCSE</w:t>
      </w:r>
      <w:bookmarkEnd w:id="1"/>
    </w:p>
    <w:p w14:paraId="2CBFE543" w14:textId="77777777" w:rsidR="00F75834" w:rsidRPr="004E46E3" w:rsidRDefault="00F75834" w:rsidP="00F75834">
      <w:pPr>
        <w:spacing w:line="280" w:lineRule="auto"/>
        <w:rPr>
          <w:rFonts w:cs="Times New Roman"/>
          <w:szCs w:val="24"/>
          <w:lang w:val="de-DE"/>
        </w:rPr>
      </w:pPr>
      <w:r w:rsidRPr="004E46E3">
        <w:rPr>
          <w:rFonts w:cs="Times New Roman"/>
          <w:szCs w:val="24"/>
          <w:lang w:val="de-DE"/>
        </w:rPr>
        <w:t>X-Rite und Pantone (nachfolgenden “X-Rite” genannt), sind Anbieter von Produkten weltweit. Entwürfen, Teilen, Materialien und Herstellung für diese Produkte und deren Verpackungen müssen die gültige Stoffeinschränkungen und Meldepflichten weltweit einhalten.</w:t>
      </w:r>
    </w:p>
    <w:p w14:paraId="58CB1241" w14:textId="77777777" w:rsidR="00F75834" w:rsidRPr="004E46E3" w:rsidRDefault="00F75834" w:rsidP="00F75834">
      <w:pPr>
        <w:spacing w:line="280" w:lineRule="auto"/>
        <w:rPr>
          <w:rFonts w:cs="Times New Roman"/>
          <w:szCs w:val="24"/>
          <w:lang w:val="de-DE"/>
        </w:rPr>
      </w:pPr>
      <w:r w:rsidRPr="004E46E3">
        <w:rPr>
          <w:rFonts w:cs="Times New Roman"/>
          <w:szCs w:val="24"/>
          <w:lang w:val="de-DE"/>
        </w:rPr>
        <w:t xml:space="preserve">Dieses GPCSE-Dokument befasst sich mit der Identifikation von Stoffeinschränkungen und Meldepflicht, von denen angenommen werden kann, dass diese in X-Rite Entwürfen, Teilen, Materialien und Herstellung für diese Produkte und deren Verpackungen zur Verwendung kommen. </w:t>
      </w:r>
    </w:p>
    <w:p w14:paraId="01883C6E" w14:textId="77777777" w:rsidR="00F75834" w:rsidRPr="004E46E3" w:rsidRDefault="00F75834" w:rsidP="00F75834">
      <w:pPr>
        <w:spacing w:line="280" w:lineRule="auto"/>
        <w:rPr>
          <w:rFonts w:cs="Times New Roman"/>
          <w:szCs w:val="24"/>
          <w:lang w:val="de-DE"/>
        </w:rPr>
      </w:pPr>
      <w:r w:rsidRPr="004E46E3">
        <w:rPr>
          <w:rFonts w:cs="Times New Roman"/>
          <w:szCs w:val="24"/>
          <w:lang w:val="de-DE"/>
        </w:rPr>
        <w:t>Einige Stoffeinschränkungen und Meldepflichten (z. B. verbotene Schädlingsbekämpfungsmittel), werden in der GPCSE nicht aufgeführt, da das Auftreten dieser Substanzen in X-Rite Entwürfen, Teilen, Materialien und Herstellung für diese Produkte und deren Verpackungen unwahrscheinlich ist. Dies schließt die Haftung des Lieferanten zur Einhaltung von veröffentlichten Umwelt- und Materialverordnungen nicht aus, die für deren jeweilige Betriebe und Produkte gelten.</w:t>
      </w:r>
    </w:p>
    <w:p w14:paraId="62830241" w14:textId="77777777" w:rsidR="00F75834" w:rsidRPr="004E46E3" w:rsidRDefault="00F75834" w:rsidP="00F75834">
      <w:pPr>
        <w:spacing w:line="280" w:lineRule="auto"/>
        <w:rPr>
          <w:rFonts w:cs="Times New Roman"/>
          <w:szCs w:val="24"/>
          <w:lang w:val="de-DE"/>
        </w:rPr>
      </w:pPr>
      <w:r w:rsidRPr="004E46E3">
        <w:rPr>
          <w:rFonts w:cs="Times New Roman"/>
          <w:szCs w:val="24"/>
          <w:lang w:val="de-DE"/>
        </w:rPr>
        <w:t>X-Rites Zulieferprozess und die Standardbedingungen und Konditionen für den Einkauf und erfordern, dass alle Zulieferer von Teilen und Materialien in X-Rite Produkten und Verpackungen die hier aufgeführten Stoffeinschränkungen und Meldepflichten einhalten. Lieferanten müssen angemessene Angabepflichten für Stoffe erfüllen und nachweisen, dass die gelieferten Teile und Materialien die Richtlinien erfüllen. X-Rite verwendet diese Informationen anschließend, um die Einhaltung des fertigen Produkts und der Verpackungen zu ermitteln, ehe das Produkt auf den Markt gebracht wird, um sicherzustellen, dass diese Regelungen eingehalten werden, und um Anfragen von Kunden zu beantworten.</w:t>
      </w:r>
    </w:p>
    <w:p w14:paraId="56FA5D97" w14:textId="77777777" w:rsidR="00F75834" w:rsidRPr="004E46E3" w:rsidRDefault="00F75834" w:rsidP="00F75834">
      <w:pPr>
        <w:spacing w:line="280" w:lineRule="auto"/>
        <w:rPr>
          <w:rFonts w:cs="Times New Roman"/>
          <w:szCs w:val="24"/>
          <w:lang w:val="de-DE"/>
        </w:rPr>
      </w:pPr>
      <w:r w:rsidRPr="004E46E3">
        <w:rPr>
          <w:rFonts w:cs="Times New Roman"/>
          <w:szCs w:val="24"/>
          <w:lang w:val="de-DE"/>
        </w:rPr>
        <w:t>Die globalen Regelungen und die GPCSE werden kontinuierlich aktualisiert. Anbieter müssen aktiv die neueste GPCSE (erhältlich unter supplier.xrite.com) die aktuellen veröffentlichten verwenden, um die Einhaltungsrichtlinien zu erfassen. Der Anbieter muss X-Rite jegliche Aktualisierungen für Stoffeinschränkungen oder Meldepflichten ihrer Teile und Materialien so schnell wie möglich melden.</w:t>
      </w:r>
    </w:p>
    <w:p w14:paraId="5DE55753" w14:textId="77777777" w:rsidR="00F75834" w:rsidRPr="004E46E3" w:rsidRDefault="00F75834" w:rsidP="00F75834">
      <w:pPr>
        <w:spacing w:line="280" w:lineRule="auto"/>
        <w:rPr>
          <w:rFonts w:cs="Times New Roman"/>
          <w:szCs w:val="24"/>
          <w:lang w:val="de-DE"/>
        </w:rPr>
      </w:pPr>
      <w:r w:rsidRPr="004E46E3">
        <w:rPr>
          <w:rFonts w:cs="Times New Roman"/>
          <w:szCs w:val="24"/>
          <w:lang w:val="de-DE"/>
        </w:rPr>
        <w:t>Ausnahmen zu den Richtlinien in diesem Dokument müssen ausdrücklich gerechtfertigt und von X-Rite genehmigt werden, ehe die betroffenen Teile oder Materialien abgenommen und verwendet werden.</w:t>
      </w:r>
    </w:p>
    <w:p w14:paraId="4253F374" w14:textId="77777777" w:rsidR="00F75834" w:rsidRPr="004E46E3" w:rsidRDefault="00F75834" w:rsidP="00F75834">
      <w:pPr>
        <w:spacing w:line="280" w:lineRule="auto"/>
        <w:rPr>
          <w:rFonts w:cs="Times New Roman"/>
          <w:szCs w:val="24"/>
          <w:lang w:val="de-DE"/>
        </w:rPr>
      </w:pPr>
      <w:r w:rsidRPr="004E46E3">
        <w:rPr>
          <w:rFonts w:cs="Times New Roman"/>
          <w:szCs w:val="24"/>
          <w:lang w:val="de-DE"/>
        </w:rPr>
        <w:t>Andere Erfüllungsrichtlinien, wie zum Beispiel die Kennzeichnung, Materialzertifizierungen und Energieverbrauch und -nutzung können auch zur Anwendung wie von X-Rite erfordert kommen.</w:t>
      </w:r>
    </w:p>
    <w:p w14:paraId="0626417D" w14:textId="2C9A0BB5" w:rsidR="006961A2" w:rsidRPr="0026073A" w:rsidRDefault="006961A2"/>
    <w:p w14:paraId="33CDD933" w14:textId="77777777" w:rsidR="0026073A" w:rsidRDefault="0026073A">
      <w:pPr>
        <w:rPr>
          <w:rFonts w:eastAsiaTheme="majorEastAsia"/>
          <w:b/>
          <w:bCs/>
          <w:color w:val="365F91" w:themeColor="accent1" w:themeShade="BF"/>
          <w:sz w:val="28"/>
          <w:szCs w:val="28"/>
        </w:rPr>
      </w:pPr>
      <w:r>
        <w:br w:type="page"/>
      </w:r>
    </w:p>
    <w:p w14:paraId="01C3729A" w14:textId="2F1A6320" w:rsidR="00314B7C" w:rsidRPr="006E541E" w:rsidRDefault="00A76668" w:rsidP="002B6243">
      <w:pPr>
        <w:pStyle w:val="Heading1"/>
        <w:keepLines w:val="0"/>
        <w:widowControl w:val="0"/>
        <w:spacing w:after="240"/>
        <w:rPr>
          <w:rFonts w:ascii="Arial" w:hAnsi="Arial" w:cs="Arial"/>
        </w:rPr>
      </w:pPr>
      <w:bookmarkStart w:id="2" w:name="_Toc535403700"/>
      <w:r>
        <w:rPr>
          <w:rFonts w:ascii="Arial" w:hAnsi="Arial" w:cs="Arial"/>
        </w:rPr>
        <w:lastRenderedPageBreak/>
        <w:t>2</w:t>
      </w:r>
      <w:r w:rsidR="004C2E65">
        <w:rPr>
          <w:rFonts w:ascii="Arial" w:hAnsi="Arial" w:cs="Arial"/>
        </w:rPr>
        <w:t xml:space="preserve">. </w:t>
      </w:r>
      <w:proofErr w:type="spellStart"/>
      <w:r w:rsidR="003E7EB2">
        <w:rPr>
          <w:rFonts w:ascii="Arial" w:hAnsi="Arial" w:cs="Arial"/>
        </w:rPr>
        <w:t>Stoffeinschränkungen</w:t>
      </w:r>
      <w:proofErr w:type="spellEnd"/>
      <w:r w:rsidR="003E7EB2">
        <w:rPr>
          <w:rFonts w:ascii="Arial" w:hAnsi="Arial" w:cs="Arial"/>
        </w:rPr>
        <w:t xml:space="preserve"> und </w:t>
      </w:r>
      <w:proofErr w:type="spellStart"/>
      <w:r w:rsidR="003E7EB2">
        <w:rPr>
          <w:rFonts w:ascii="Arial" w:hAnsi="Arial" w:cs="Arial"/>
        </w:rPr>
        <w:t>Meldepflichten</w:t>
      </w:r>
      <w:bookmarkEnd w:id="2"/>
      <w:proofErr w:type="spellEnd"/>
    </w:p>
    <w:p w14:paraId="3F388B9F" w14:textId="77777777" w:rsidR="003E7EB2" w:rsidRPr="004E46E3" w:rsidRDefault="003E7EB2" w:rsidP="003E7EB2">
      <w:pPr>
        <w:keepNext/>
        <w:keepLines/>
        <w:spacing w:line="280" w:lineRule="auto"/>
        <w:rPr>
          <w:rFonts w:cs="Times New Roman"/>
          <w:szCs w:val="24"/>
          <w:lang w:val="de-DE"/>
        </w:rPr>
      </w:pPr>
      <w:r w:rsidRPr="004E46E3">
        <w:rPr>
          <w:rFonts w:cs="Times New Roman"/>
          <w:szCs w:val="24"/>
          <w:lang w:val="de-DE"/>
        </w:rPr>
        <w:t>Die folgende Tabelle basiert auf den verschiedenen globalen Regelungen und enthält Einschränkungen und Meldepflichten für Stoffe, von denen angenommen werden kann, dass diese in Entwürfen, Teilen, Materialien und Herstellung für diese X-Rite Produkte und deren Verpackungen zur Verwendung kommen. Die angegebenen Richtlinien erscheinen im Ganzen und sollten immer verwendet werden, um eine komplette Liste der Stoffe und der zugehörigen Anforderungen an Meldepflicht und Einschränkungen zu erhalten.</w:t>
      </w:r>
    </w:p>
    <w:tbl>
      <w:tblPr>
        <w:tblStyle w:val="TableGrid"/>
        <w:tblW w:w="9549" w:type="dxa"/>
        <w:tblInd w:w="9" w:type="dxa"/>
        <w:tblLayout w:type="fixed"/>
        <w:tblLook w:val="04E0" w:firstRow="1" w:lastRow="1" w:firstColumn="1" w:lastColumn="0" w:noHBand="0" w:noVBand="1"/>
      </w:tblPr>
      <w:tblGrid>
        <w:gridCol w:w="9"/>
        <w:gridCol w:w="2056"/>
        <w:gridCol w:w="1093"/>
        <w:gridCol w:w="3961"/>
        <w:gridCol w:w="2423"/>
        <w:gridCol w:w="7"/>
      </w:tblGrid>
      <w:tr w:rsidR="00DC0DF7" w:rsidRPr="000A7A3D" w14:paraId="01C372A0" w14:textId="77777777" w:rsidTr="00A37697">
        <w:trPr>
          <w:gridBefore w:val="1"/>
          <w:wBefore w:w="9" w:type="dxa"/>
          <w:cantSplit/>
          <w:tblHeader/>
        </w:trPr>
        <w:tc>
          <w:tcPr>
            <w:tcW w:w="2055" w:type="dxa"/>
            <w:tcBorders>
              <w:bottom w:val="single" w:sz="4" w:space="0" w:color="000000" w:themeColor="text1"/>
            </w:tcBorders>
            <w:shd w:val="clear" w:color="auto" w:fill="DBE5F1" w:themeFill="accent1" w:themeFillTint="33"/>
          </w:tcPr>
          <w:p w14:paraId="01C3729C" w14:textId="3E0ACADA" w:rsidR="00DC0DF7" w:rsidRPr="000A7A3D" w:rsidRDefault="00DC0DF7" w:rsidP="00DC0DF7">
            <w:pPr>
              <w:keepNext/>
              <w:keepLines/>
              <w:spacing w:before="120" w:after="120"/>
              <w:jc w:val="center"/>
              <w:rPr>
                <w:b/>
                <w:color w:val="000000" w:themeColor="text1"/>
                <w:sz w:val="16"/>
                <w:szCs w:val="16"/>
              </w:rPr>
            </w:pPr>
            <w:r>
              <w:rPr>
                <w:rFonts w:cs="Times New Roman"/>
                <w:b/>
                <w:color w:val="000000"/>
                <w:sz w:val="16"/>
                <w:szCs w:val="24"/>
              </w:rPr>
              <w:lastRenderedPageBreak/>
              <w:t>Stoff</w:t>
            </w:r>
            <w:r>
              <w:rPr>
                <w:rFonts w:cs="Times New Roman"/>
                <w:b/>
                <w:color w:val="000000"/>
                <w:sz w:val="16"/>
                <w:szCs w:val="24"/>
                <w:vertAlign w:val="superscript"/>
              </w:rPr>
              <w:t>1</w:t>
            </w:r>
          </w:p>
        </w:tc>
        <w:tc>
          <w:tcPr>
            <w:tcW w:w="1094" w:type="dxa"/>
            <w:tcBorders>
              <w:bottom w:val="single" w:sz="4" w:space="0" w:color="000000" w:themeColor="text1"/>
            </w:tcBorders>
            <w:shd w:val="clear" w:color="auto" w:fill="DBE5F1" w:themeFill="accent1" w:themeFillTint="33"/>
          </w:tcPr>
          <w:p w14:paraId="01C3729D" w14:textId="1D0A774F" w:rsidR="00DC0DF7" w:rsidRPr="000A7A3D" w:rsidRDefault="00DC0DF7" w:rsidP="00DC0DF7">
            <w:pPr>
              <w:keepNext/>
              <w:keepLines/>
              <w:spacing w:before="120" w:after="120"/>
              <w:jc w:val="center"/>
              <w:rPr>
                <w:b/>
                <w:color w:val="000000" w:themeColor="text1"/>
                <w:sz w:val="16"/>
                <w:szCs w:val="16"/>
              </w:rPr>
            </w:pPr>
            <w:r>
              <w:rPr>
                <w:b/>
                <w:color w:val="000000"/>
                <w:sz w:val="16"/>
                <w:szCs w:val="16"/>
              </w:rPr>
              <w:t>CAS-Nr.</w:t>
            </w:r>
          </w:p>
        </w:tc>
        <w:tc>
          <w:tcPr>
            <w:tcW w:w="3959" w:type="dxa"/>
            <w:tcBorders>
              <w:bottom w:val="single" w:sz="4" w:space="0" w:color="000000" w:themeColor="text1"/>
            </w:tcBorders>
            <w:shd w:val="clear" w:color="auto" w:fill="DBE5F1" w:themeFill="accent1" w:themeFillTint="33"/>
          </w:tcPr>
          <w:p w14:paraId="01C3729E" w14:textId="6B96F276" w:rsidR="00DC0DF7" w:rsidRPr="000A7A3D" w:rsidRDefault="00DC0DF7" w:rsidP="00DC0DF7">
            <w:pPr>
              <w:keepNext/>
              <w:keepLines/>
              <w:spacing w:before="120" w:after="120"/>
              <w:jc w:val="center"/>
              <w:rPr>
                <w:b/>
                <w:color w:val="000000" w:themeColor="text1"/>
                <w:sz w:val="16"/>
                <w:szCs w:val="16"/>
              </w:rPr>
            </w:pPr>
            <w:proofErr w:type="spellStart"/>
            <w:r>
              <w:rPr>
                <w:b/>
                <w:color w:val="000000"/>
                <w:sz w:val="16"/>
                <w:szCs w:val="16"/>
              </w:rPr>
              <w:t>Anforderung</w:t>
            </w:r>
            <w:proofErr w:type="spellEnd"/>
            <w:r>
              <w:rPr>
                <w:b/>
                <w:color w:val="000000"/>
                <w:sz w:val="16"/>
                <w:szCs w:val="16"/>
              </w:rPr>
              <w:t>(</w:t>
            </w:r>
            <w:proofErr w:type="spellStart"/>
            <w:r>
              <w:rPr>
                <w:b/>
                <w:color w:val="000000"/>
                <w:sz w:val="16"/>
                <w:szCs w:val="16"/>
              </w:rPr>
              <w:t>en</w:t>
            </w:r>
            <w:proofErr w:type="spellEnd"/>
            <w:r>
              <w:rPr>
                <w:b/>
                <w:color w:val="000000"/>
                <w:sz w:val="16"/>
                <w:szCs w:val="16"/>
              </w:rPr>
              <w:t>)</w:t>
            </w:r>
            <w:r>
              <w:rPr>
                <w:b/>
                <w:color w:val="000000"/>
                <w:sz w:val="16"/>
                <w:szCs w:val="16"/>
                <w:vertAlign w:val="superscript"/>
              </w:rPr>
              <w:t>2</w:t>
            </w:r>
          </w:p>
        </w:tc>
        <w:tc>
          <w:tcPr>
            <w:tcW w:w="2432" w:type="dxa"/>
            <w:gridSpan w:val="2"/>
            <w:tcBorders>
              <w:bottom w:val="single" w:sz="4" w:space="0" w:color="000000" w:themeColor="text1"/>
            </w:tcBorders>
            <w:shd w:val="clear" w:color="auto" w:fill="DBE5F1" w:themeFill="accent1" w:themeFillTint="33"/>
          </w:tcPr>
          <w:p w14:paraId="01C3729F" w14:textId="776F068C" w:rsidR="00DC0DF7" w:rsidRPr="000A7A3D" w:rsidRDefault="00DC0DF7" w:rsidP="00DC0DF7">
            <w:pPr>
              <w:keepNext/>
              <w:keepLines/>
              <w:spacing w:before="120" w:after="120"/>
              <w:jc w:val="center"/>
              <w:rPr>
                <w:b/>
                <w:color w:val="000000" w:themeColor="text1"/>
                <w:sz w:val="16"/>
                <w:szCs w:val="16"/>
              </w:rPr>
            </w:pPr>
            <w:proofErr w:type="spellStart"/>
            <w:r>
              <w:rPr>
                <w:b/>
                <w:color w:val="000000"/>
                <w:sz w:val="16"/>
                <w:szCs w:val="16"/>
              </w:rPr>
              <w:t>Hauptreferenz</w:t>
            </w:r>
            <w:proofErr w:type="spellEnd"/>
            <w:r>
              <w:rPr>
                <w:b/>
                <w:color w:val="000000"/>
                <w:sz w:val="16"/>
                <w:szCs w:val="16"/>
              </w:rPr>
              <w:t>(</w:t>
            </w:r>
            <w:proofErr w:type="spellStart"/>
            <w:r>
              <w:rPr>
                <w:b/>
                <w:color w:val="000000"/>
                <w:sz w:val="16"/>
                <w:szCs w:val="16"/>
              </w:rPr>
              <w:t>en</w:t>
            </w:r>
            <w:proofErr w:type="spellEnd"/>
            <w:r>
              <w:rPr>
                <w:b/>
                <w:color w:val="000000"/>
                <w:sz w:val="16"/>
                <w:szCs w:val="16"/>
              </w:rPr>
              <w:t>)</w:t>
            </w:r>
            <w:r>
              <w:rPr>
                <w:b/>
                <w:color w:val="000000"/>
                <w:sz w:val="16"/>
                <w:szCs w:val="16"/>
                <w:vertAlign w:val="superscript"/>
              </w:rPr>
              <w:t>3</w:t>
            </w:r>
          </w:p>
        </w:tc>
      </w:tr>
      <w:tr w:rsidR="00DC0DF7" w:rsidRPr="009838CF" w14:paraId="01C372A5"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A1" w14:textId="294C87FB"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Antimon</w:t>
            </w:r>
            <w:proofErr w:type="spellEnd"/>
            <w:r>
              <w:rPr>
                <w:color w:val="000000"/>
                <w:sz w:val="16"/>
                <w:szCs w:val="16"/>
              </w:rPr>
              <w:t xml:space="preserve"> und </w:t>
            </w:r>
            <w:proofErr w:type="spellStart"/>
            <w:r>
              <w:rPr>
                <w:color w:val="000000"/>
                <w:sz w:val="16"/>
                <w:szCs w:val="16"/>
              </w:rPr>
              <w:t>Antimonverbindung</w:t>
            </w:r>
            <w:proofErr w:type="spellEnd"/>
          </w:p>
        </w:tc>
        <w:tc>
          <w:tcPr>
            <w:tcW w:w="1094" w:type="dxa"/>
          </w:tcPr>
          <w:p w14:paraId="01C372A2" w14:textId="1D02320E" w:rsidR="00DC0DF7" w:rsidRPr="00E5181A" w:rsidRDefault="00DC0DF7" w:rsidP="00DC0DF7">
            <w:pPr>
              <w:keepNext/>
              <w:keepLines/>
              <w:spacing w:before="120" w:after="120"/>
              <w:jc w:val="center"/>
              <w:rPr>
                <w:color w:val="000000" w:themeColor="text1"/>
                <w:sz w:val="16"/>
                <w:szCs w:val="16"/>
              </w:rPr>
            </w:pPr>
            <w:r>
              <w:rPr>
                <w:color w:val="000000"/>
                <w:sz w:val="16"/>
                <w:szCs w:val="16"/>
              </w:rPr>
              <w:t xml:space="preserve">7440-36-0 und </w:t>
            </w:r>
            <w:proofErr w:type="spellStart"/>
            <w:r>
              <w:rPr>
                <w:color w:val="000000"/>
                <w:sz w:val="16"/>
                <w:szCs w:val="16"/>
              </w:rPr>
              <w:t>andere</w:t>
            </w:r>
            <w:proofErr w:type="spellEnd"/>
          </w:p>
        </w:tc>
        <w:tc>
          <w:tcPr>
            <w:tcW w:w="3959" w:type="dxa"/>
          </w:tcPr>
          <w:p w14:paraId="01C372A3" w14:textId="59AC5319" w:rsidR="00DC0DF7" w:rsidRPr="0065770F" w:rsidRDefault="00DC0DF7" w:rsidP="00DC0DF7">
            <w:pPr>
              <w:spacing w:before="120" w:after="120"/>
              <w:rPr>
                <w:sz w:val="16"/>
              </w:rPr>
            </w:pPr>
            <w:r w:rsidRPr="004E46E3">
              <w:rPr>
                <w:sz w:val="16"/>
                <w:lang w:val="de-DE"/>
              </w:rPr>
              <w:t>Standardmeldepflicht bei 0,1 Gewichts-% (1000 ppm) in den Stoffen.</w:t>
            </w:r>
          </w:p>
        </w:tc>
        <w:tc>
          <w:tcPr>
            <w:tcW w:w="2425" w:type="dxa"/>
          </w:tcPr>
          <w:p w14:paraId="01C372A4" w14:textId="778EF90E" w:rsidR="00DC0DF7" w:rsidRPr="00E5181A" w:rsidRDefault="00DC0DF7" w:rsidP="00DC0DF7">
            <w:pPr>
              <w:pStyle w:val="sBullet"/>
              <w:numPr>
                <w:ilvl w:val="0"/>
                <w:numId w:val="0"/>
              </w:numPr>
              <w:spacing w:before="120" w:after="120"/>
              <w:ind w:left="-20"/>
              <w:contextualSpacing w:val="0"/>
            </w:pPr>
            <w:proofErr w:type="spellStart"/>
            <w:r>
              <w:t>Generelle</w:t>
            </w:r>
            <w:proofErr w:type="spellEnd"/>
            <w:r>
              <w:t xml:space="preserve"> </w:t>
            </w:r>
            <w:proofErr w:type="spellStart"/>
            <w:r>
              <w:t>Bedenken</w:t>
            </w:r>
            <w:proofErr w:type="spellEnd"/>
            <w:r>
              <w:t xml:space="preserve"> der </w:t>
            </w:r>
            <w:proofErr w:type="spellStart"/>
            <w:r>
              <w:t>Industrie</w:t>
            </w:r>
            <w:proofErr w:type="spellEnd"/>
          </w:p>
        </w:tc>
      </w:tr>
      <w:tr w:rsidR="00DC0DF7" w:rsidRPr="009838CF" w14:paraId="01C372AC"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A6" w14:textId="60FEC306"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Arsen</w:t>
            </w:r>
            <w:proofErr w:type="spellEnd"/>
            <w:r>
              <w:rPr>
                <w:color w:val="000000"/>
                <w:sz w:val="16"/>
                <w:szCs w:val="16"/>
              </w:rPr>
              <w:t xml:space="preserve"> und </w:t>
            </w:r>
            <w:proofErr w:type="spellStart"/>
            <w:r>
              <w:rPr>
                <w:color w:val="000000"/>
                <w:sz w:val="16"/>
                <w:szCs w:val="16"/>
              </w:rPr>
              <w:t>Arsenverbindungen</w:t>
            </w:r>
            <w:proofErr w:type="spellEnd"/>
          </w:p>
        </w:tc>
        <w:tc>
          <w:tcPr>
            <w:tcW w:w="1094" w:type="dxa"/>
          </w:tcPr>
          <w:p w14:paraId="01C372A7" w14:textId="3944960B" w:rsidR="00DC0DF7" w:rsidRPr="00E5181A" w:rsidRDefault="00DC0DF7" w:rsidP="00DC0DF7">
            <w:pPr>
              <w:keepNext/>
              <w:keepLines/>
              <w:spacing w:before="120" w:after="120"/>
              <w:jc w:val="center"/>
              <w:rPr>
                <w:color w:val="000000" w:themeColor="text1"/>
                <w:sz w:val="16"/>
                <w:szCs w:val="16"/>
              </w:rPr>
            </w:pPr>
            <w:r>
              <w:rPr>
                <w:color w:val="000000"/>
                <w:sz w:val="16"/>
                <w:szCs w:val="16"/>
              </w:rPr>
              <w:t xml:space="preserve">7440-38-2 und </w:t>
            </w:r>
            <w:proofErr w:type="spellStart"/>
            <w:r>
              <w:rPr>
                <w:color w:val="000000"/>
                <w:sz w:val="16"/>
                <w:szCs w:val="16"/>
              </w:rPr>
              <w:t>andere</w:t>
            </w:r>
            <w:proofErr w:type="spellEnd"/>
          </w:p>
        </w:tc>
        <w:tc>
          <w:tcPr>
            <w:tcW w:w="3959" w:type="dxa"/>
          </w:tcPr>
          <w:p w14:paraId="1886FC11" w14:textId="77777777" w:rsidR="00DC0DF7" w:rsidRPr="00C175FC" w:rsidRDefault="00DC0DF7" w:rsidP="00DC0DF7">
            <w:pPr>
              <w:pStyle w:val="sBullet"/>
              <w:numPr>
                <w:ilvl w:val="0"/>
                <w:numId w:val="0"/>
              </w:numPr>
              <w:spacing w:before="120" w:after="120"/>
              <w:ind w:left="-22"/>
              <w:contextualSpacing w:val="0"/>
            </w:pPr>
            <w:proofErr w:type="spellStart"/>
            <w:r>
              <w:t>Sollte</w:t>
            </w:r>
            <w:proofErr w:type="spellEnd"/>
            <w:r>
              <w:t xml:space="preserve"> </w:t>
            </w:r>
            <w:proofErr w:type="spellStart"/>
            <w:r>
              <w:t>vermieden</w:t>
            </w:r>
            <w:proofErr w:type="spellEnd"/>
            <w:r>
              <w:t xml:space="preserve"> </w:t>
            </w:r>
            <w:proofErr w:type="spellStart"/>
            <w:r>
              <w:t>werden</w:t>
            </w:r>
            <w:proofErr w:type="spellEnd"/>
            <w:r>
              <w:t xml:space="preserve">, </w:t>
            </w:r>
            <w:proofErr w:type="spellStart"/>
            <w:r>
              <w:t>besonders</w:t>
            </w:r>
            <w:proofErr w:type="spellEnd"/>
            <w:r>
              <w:t xml:space="preserve"> in </w:t>
            </w:r>
            <w:proofErr w:type="spellStart"/>
            <w:r>
              <w:t>Holzprodukten</w:t>
            </w:r>
            <w:proofErr w:type="spellEnd"/>
            <w:r>
              <w:t xml:space="preserve"> </w:t>
            </w:r>
            <w:proofErr w:type="spellStart"/>
            <w:r>
              <w:t>oder</w:t>
            </w:r>
            <w:proofErr w:type="spellEnd"/>
            <w:r>
              <w:t xml:space="preserve"> </w:t>
            </w:r>
            <w:proofErr w:type="spellStart"/>
            <w:r>
              <w:t>Anstrichen</w:t>
            </w:r>
            <w:proofErr w:type="spellEnd"/>
            <w:r>
              <w:t xml:space="preserve">. </w:t>
            </w:r>
          </w:p>
          <w:p w14:paraId="01C372A9" w14:textId="0D80CB21" w:rsidR="00DC0DF7" w:rsidRPr="00E5181A" w:rsidRDefault="00DC0DF7" w:rsidP="00DC0DF7">
            <w:pPr>
              <w:pStyle w:val="sBullet"/>
              <w:numPr>
                <w:ilvl w:val="0"/>
                <w:numId w:val="0"/>
              </w:numPr>
              <w:spacing w:before="120" w:after="120"/>
              <w:ind w:left="-22"/>
              <w:contextualSpacing w:val="0"/>
            </w:pPr>
            <w:proofErr w:type="spellStart"/>
            <w:r>
              <w:t>Standardmeldepflicht</w:t>
            </w:r>
            <w:proofErr w:type="spellEnd"/>
            <w:r>
              <w:t xml:space="preserve"> </w:t>
            </w:r>
            <w:proofErr w:type="spellStart"/>
            <w:r>
              <w:t>bei</w:t>
            </w:r>
            <w:proofErr w:type="spellEnd"/>
            <w:r>
              <w:t xml:space="preserve"> 0,1 </w:t>
            </w:r>
            <w:proofErr w:type="spellStart"/>
            <w:r>
              <w:t>Gewichts</w:t>
            </w:r>
            <w:proofErr w:type="spellEnd"/>
            <w:r>
              <w:t xml:space="preserve">-% (1000 ppm) in den </w:t>
            </w:r>
            <w:proofErr w:type="spellStart"/>
            <w:r>
              <w:t>Stoffen</w:t>
            </w:r>
            <w:proofErr w:type="spellEnd"/>
            <w:r>
              <w:t xml:space="preserve">. </w:t>
            </w:r>
          </w:p>
        </w:tc>
        <w:tc>
          <w:tcPr>
            <w:tcW w:w="2425" w:type="dxa"/>
          </w:tcPr>
          <w:p w14:paraId="36FAD8C3" w14:textId="77777777" w:rsidR="00DC0DF7" w:rsidRPr="00C175FC" w:rsidRDefault="00DC0DF7" w:rsidP="00DC0DF7">
            <w:pPr>
              <w:pStyle w:val="sBullet"/>
              <w:numPr>
                <w:ilvl w:val="0"/>
                <w:numId w:val="0"/>
              </w:numPr>
              <w:spacing w:before="120" w:after="120"/>
              <w:ind w:left="-20"/>
              <w:contextualSpacing w:val="0"/>
            </w:pPr>
            <w:r>
              <w:t xml:space="preserve">EG – </w:t>
            </w:r>
            <w:proofErr w:type="spellStart"/>
            <w:r>
              <w:t>Verordnung</w:t>
            </w:r>
            <w:proofErr w:type="spellEnd"/>
            <w:r>
              <w:t xml:space="preserve"> 1907/2006/EG </w:t>
            </w:r>
            <w:proofErr w:type="spellStart"/>
            <w:r>
              <w:t>Anhang</w:t>
            </w:r>
            <w:proofErr w:type="spellEnd"/>
            <w:r>
              <w:t xml:space="preserve"> 11 und </w:t>
            </w:r>
            <w:proofErr w:type="spellStart"/>
            <w:r>
              <w:t>Ergänzungen</w:t>
            </w:r>
            <w:proofErr w:type="spellEnd"/>
          </w:p>
          <w:p w14:paraId="01C372AB" w14:textId="505A7C71" w:rsidR="00DC0DF7" w:rsidRPr="00E5181A" w:rsidRDefault="00DC0DF7" w:rsidP="00DC0DF7">
            <w:pPr>
              <w:pStyle w:val="sBullet"/>
              <w:numPr>
                <w:ilvl w:val="0"/>
                <w:numId w:val="0"/>
              </w:numPr>
              <w:spacing w:before="120" w:after="120"/>
              <w:ind w:left="-20"/>
              <w:contextualSpacing w:val="0"/>
            </w:pPr>
            <w:r>
              <w:t xml:space="preserve">Schweiz – </w:t>
            </w:r>
            <w:proofErr w:type="spellStart"/>
            <w:r>
              <w:t>Chemikalien-Risikoreduktions-Verordnung</w:t>
            </w:r>
            <w:proofErr w:type="spellEnd"/>
            <w:r>
              <w:t xml:space="preserve"> (</w:t>
            </w:r>
            <w:proofErr w:type="spellStart"/>
            <w:r>
              <w:t>ChemRRV</w:t>
            </w:r>
            <w:proofErr w:type="spellEnd"/>
            <w:r>
              <w:t>)</w:t>
            </w:r>
          </w:p>
        </w:tc>
      </w:tr>
      <w:tr w:rsidR="00DC0DF7" w:rsidRPr="002669BA" w14:paraId="01C372B6"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AD" w14:textId="4ADD4E44"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Asbest</w:t>
            </w:r>
            <w:proofErr w:type="spellEnd"/>
            <w:r>
              <w:rPr>
                <w:color w:val="000000"/>
                <w:sz w:val="16"/>
                <w:szCs w:val="16"/>
              </w:rPr>
              <w:t xml:space="preserve"> und </w:t>
            </w:r>
            <w:proofErr w:type="spellStart"/>
            <w:r>
              <w:rPr>
                <w:color w:val="000000"/>
                <w:sz w:val="16"/>
                <w:szCs w:val="16"/>
              </w:rPr>
              <w:t>Asbestmaterialien</w:t>
            </w:r>
            <w:proofErr w:type="spellEnd"/>
          </w:p>
        </w:tc>
        <w:tc>
          <w:tcPr>
            <w:tcW w:w="1094" w:type="dxa"/>
          </w:tcPr>
          <w:p w14:paraId="01C372AE" w14:textId="396BB0A5" w:rsidR="00DC0DF7" w:rsidRPr="00E5181A" w:rsidRDefault="00DC0DF7" w:rsidP="00DC0DF7">
            <w:pPr>
              <w:keepNext/>
              <w:keepLines/>
              <w:spacing w:before="120" w:after="120"/>
              <w:jc w:val="center"/>
              <w:rPr>
                <w:color w:val="000000" w:themeColor="text1"/>
                <w:sz w:val="16"/>
                <w:szCs w:val="16"/>
              </w:rPr>
            </w:pPr>
            <w:r>
              <w:rPr>
                <w:color w:val="000000"/>
                <w:sz w:val="16"/>
                <w:szCs w:val="16"/>
              </w:rPr>
              <w:t xml:space="preserve">1332-21-4 und </w:t>
            </w:r>
            <w:proofErr w:type="spellStart"/>
            <w:r>
              <w:rPr>
                <w:color w:val="000000"/>
                <w:sz w:val="16"/>
                <w:szCs w:val="16"/>
              </w:rPr>
              <w:t>andere</w:t>
            </w:r>
            <w:proofErr w:type="spellEnd"/>
          </w:p>
        </w:tc>
        <w:tc>
          <w:tcPr>
            <w:tcW w:w="3959" w:type="dxa"/>
          </w:tcPr>
          <w:p w14:paraId="705755E3" w14:textId="77777777" w:rsidR="00DC0DF7" w:rsidRPr="00C175FC" w:rsidRDefault="00DC0DF7" w:rsidP="00DC0DF7">
            <w:pPr>
              <w:pStyle w:val="sBullet"/>
              <w:numPr>
                <w:ilvl w:val="0"/>
                <w:numId w:val="0"/>
              </w:numPr>
              <w:spacing w:before="120" w:after="120"/>
              <w:ind w:left="-22"/>
              <w:contextualSpacing w:val="0"/>
            </w:pPr>
            <w:r>
              <w:t xml:space="preserve">Die </w:t>
            </w:r>
            <w:proofErr w:type="spellStart"/>
            <w:r>
              <w:t>Herstellung</w:t>
            </w:r>
            <w:proofErr w:type="spellEnd"/>
            <w:r>
              <w:t xml:space="preserve">, der </w:t>
            </w:r>
            <w:proofErr w:type="spellStart"/>
            <w:r>
              <w:t>Vertrieb</w:t>
            </w:r>
            <w:proofErr w:type="spellEnd"/>
            <w:r>
              <w:t xml:space="preserve"> und die </w:t>
            </w:r>
            <w:proofErr w:type="spellStart"/>
            <w:r>
              <w:t>Verwendung</w:t>
            </w:r>
            <w:proofErr w:type="spellEnd"/>
            <w:r>
              <w:t xml:space="preserve"> </w:t>
            </w:r>
            <w:proofErr w:type="spellStart"/>
            <w:r>
              <w:t>dieser</w:t>
            </w:r>
            <w:proofErr w:type="spellEnd"/>
            <w:r>
              <w:t xml:space="preserve"> </w:t>
            </w:r>
            <w:proofErr w:type="spellStart"/>
            <w:r>
              <w:t>Fasern</w:t>
            </w:r>
            <w:proofErr w:type="spellEnd"/>
            <w:r>
              <w:t xml:space="preserve"> und von </w:t>
            </w:r>
            <w:proofErr w:type="spellStart"/>
            <w:r>
              <w:t>Artikeln</w:t>
            </w:r>
            <w:proofErr w:type="spellEnd"/>
            <w:r>
              <w:t xml:space="preserve">, die </w:t>
            </w:r>
            <w:proofErr w:type="spellStart"/>
            <w:r>
              <w:t>wissentlich</w:t>
            </w:r>
            <w:proofErr w:type="spellEnd"/>
            <w:r>
              <w:t xml:space="preserve"> </w:t>
            </w:r>
            <w:proofErr w:type="spellStart"/>
            <w:r>
              <w:t>diese</w:t>
            </w:r>
            <w:proofErr w:type="spellEnd"/>
            <w:r>
              <w:t xml:space="preserve"> </w:t>
            </w:r>
            <w:proofErr w:type="spellStart"/>
            <w:r>
              <w:t>Fasern</w:t>
            </w:r>
            <w:proofErr w:type="spellEnd"/>
            <w:r>
              <w:t xml:space="preserve"> </w:t>
            </w:r>
            <w:proofErr w:type="spellStart"/>
            <w:r>
              <w:t>enthalten</w:t>
            </w:r>
            <w:proofErr w:type="spellEnd"/>
            <w:r>
              <w:t xml:space="preserve">, </w:t>
            </w:r>
            <w:proofErr w:type="spellStart"/>
            <w:r>
              <w:t>ist</w:t>
            </w:r>
            <w:proofErr w:type="spellEnd"/>
            <w:r>
              <w:t xml:space="preserve"> verboten. </w:t>
            </w:r>
          </w:p>
          <w:p w14:paraId="01C372B0" w14:textId="6186E85D" w:rsidR="00DC0DF7" w:rsidRPr="00E5181A" w:rsidRDefault="00DC0DF7" w:rsidP="00DC0DF7">
            <w:pPr>
              <w:pStyle w:val="sBullet"/>
              <w:numPr>
                <w:ilvl w:val="0"/>
                <w:numId w:val="0"/>
              </w:numPr>
              <w:spacing w:before="120" w:after="120"/>
              <w:ind w:left="-22"/>
              <w:contextualSpacing w:val="0"/>
            </w:pPr>
            <w:proofErr w:type="spellStart"/>
            <w:r>
              <w:t>Meldung</w:t>
            </w:r>
            <w:proofErr w:type="spellEnd"/>
            <w:r>
              <w:t xml:space="preserve"> </w:t>
            </w:r>
            <w:proofErr w:type="spellStart"/>
            <w:r>
              <w:t>auch</w:t>
            </w:r>
            <w:proofErr w:type="spellEnd"/>
            <w:r>
              <w:t xml:space="preserve"> </w:t>
            </w:r>
            <w:proofErr w:type="spellStart"/>
            <w:r>
              <w:t>bei</w:t>
            </w:r>
            <w:proofErr w:type="spellEnd"/>
            <w:r>
              <w:t xml:space="preserve"> </w:t>
            </w:r>
            <w:proofErr w:type="spellStart"/>
            <w:r>
              <w:t>geringeren</w:t>
            </w:r>
            <w:proofErr w:type="spellEnd"/>
            <w:r>
              <w:t xml:space="preserve"> </w:t>
            </w:r>
            <w:proofErr w:type="spellStart"/>
            <w:r>
              <w:t>Anteilen</w:t>
            </w:r>
            <w:proofErr w:type="spellEnd"/>
            <w:r>
              <w:t xml:space="preserve">. </w:t>
            </w:r>
          </w:p>
        </w:tc>
        <w:tc>
          <w:tcPr>
            <w:tcW w:w="2425" w:type="dxa"/>
          </w:tcPr>
          <w:p w14:paraId="33CCE312" w14:textId="77777777" w:rsidR="00DC0DF7" w:rsidRPr="00C175FC" w:rsidRDefault="00DC0DF7" w:rsidP="00DC0DF7">
            <w:pPr>
              <w:pStyle w:val="sBullet"/>
              <w:numPr>
                <w:ilvl w:val="0"/>
                <w:numId w:val="0"/>
              </w:numPr>
              <w:spacing w:before="120" w:after="120"/>
              <w:ind w:left="-20"/>
              <w:contextualSpacing w:val="0"/>
            </w:pPr>
            <w:r>
              <w:t xml:space="preserve">EG – </w:t>
            </w:r>
            <w:proofErr w:type="spellStart"/>
            <w:r>
              <w:t>Verordnung</w:t>
            </w:r>
            <w:proofErr w:type="spellEnd"/>
            <w:r>
              <w:t xml:space="preserve"> 1907/2006/EG und </w:t>
            </w:r>
            <w:proofErr w:type="spellStart"/>
            <w:r>
              <w:t>Ergänzungen</w:t>
            </w:r>
            <w:proofErr w:type="spellEnd"/>
          </w:p>
          <w:p w14:paraId="56300121" w14:textId="77777777" w:rsidR="00DC0DF7" w:rsidRPr="00C175FC" w:rsidRDefault="00DC0DF7" w:rsidP="00DC0DF7">
            <w:pPr>
              <w:pStyle w:val="sBullet"/>
              <w:numPr>
                <w:ilvl w:val="0"/>
                <w:numId w:val="0"/>
              </w:numPr>
              <w:spacing w:before="120" w:after="120"/>
              <w:ind w:left="-20"/>
              <w:contextualSpacing w:val="0"/>
            </w:pPr>
            <w:r>
              <w:t xml:space="preserve">Japan - </w:t>
            </w:r>
            <w:proofErr w:type="spellStart"/>
            <w:r>
              <w:t>Gesetz</w:t>
            </w:r>
            <w:proofErr w:type="spellEnd"/>
            <w:r>
              <w:t xml:space="preserve"> </w:t>
            </w:r>
            <w:proofErr w:type="spellStart"/>
            <w:r>
              <w:t>für</w:t>
            </w:r>
            <w:proofErr w:type="spellEnd"/>
            <w:r>
              <w:t xml:space="preserve"> </w:t>
            </w:r>
            <w:proofErr w:type="spellStart"/>
            <w:r>
              <w:t>industrielle</w:t>
            </w:r>
            <w:proofErr w:type="spellEnd"/>
            <w:r>
              <w:t xml:space="preserve"> </w:t>
            </w:r>
            <w:proofErr w:type="spellStart"/>
            <w:r>
              <w:t>Sicherheit</w:t>
            </w:r>
            <w:proofErr w:type="spellEnd"/>
            <w:r>
              <w:t xml:space="preserve"> und Gesundheit</w:t>
            </w:r>
          </w:p>
          <w:p w14:paraId="0AA835CB" w14:textId="77777777" w:rsidR="00DC0DF7" w:rsidRPr="00C175FC" w:rsidRDefault="00DC0DF7" w:rsidP="00DC0DF7">
            <w:pPr>
              <w:pStyle w:val="sBullet"/>
              <w:numPr>
                <w:ilvl w:val="0"/>
                <w:numId w:val="0"/>
              </w:numPr>
              <w:spacing w:before="120" w:after="120"/>
              <w:ind w:left="-20"/>
              <w:contextualSpacing w:val="0"/>
            </w:pPr>
            <w:r>
              <w:t xml:space="preserve">Deutschland – </w:t>
            </w:r>
            <w:proofErr w:type="spellStart"/>
            <w:r>
              <w:t>Chemikalien-Verbotsverordnung</w:t>
            </w:r>
            <w:proofErr w:type="spellEnd"/>
            <w:r>
              <w:t xml:space="preserve"> (</w:t>
            </w:r>
            <w:proofErr w:type="spellStart"/>
            <w:r>
              <w:t>ChemVerbotsV</w:t>
            </w:r>
            <w:proofErr w:type="spellEnd"/>
            <w:r>
              <w:t>)</w:t>
            </w:r>
          </w:p>
          <w:p w14:paraId="72246850" w14:textId="77777777" w:rsidR="00DC0DF7" w:rsidRPr="00C175FC" w:rsidRDefault="00DC0DF7" w:rsidP="00DC0DF7">
            <w:pPr>
              <w:pStyle w:val="sBullet"/>
              <w:numPr>
                <w:ilvl w:val="0"/>
                <w:numId w:val="0"/>
              </w:numPr>
              <w:spacing w:before="120" w:after="120"/>
              <w:ind w:left="-20"/>
              <w:contextualSpacing w:val="0"/>
            </w:pPr>
            <w:r>
              <w:t xml:space="preserve">Schweiz – </w:t>
            </w:r>
            <w:proofErr w:type="spellStart"/>
            <w:r>
              <w:t>Chemikalien-Risikoreduktions-Verordnung</w:t>
            </w:r>
            <w:proofErr w:type="spellEnd"/>
            <w:r>
              <w:t xml:space="preserve"> (</w:t>
            </w:r>
            <w:proofErr w:type="spellStart"/>
            <w:r>
              <w:t>ChemRRV</w:t>
            </w:r>
            <w:proofErr w:type="spellEnd"/>
            <w:r>
              <w:t>)</w:t>
            </w:r>
          </w:p>
          <w:p w14:paraId="01C372B5" w14:textId="79C2AE69" w:rsidR="00DC0DF7" w:rsidRPr="0038743A" w:rsidRDefault="00DC0DF7" w:rsidP="00DC0DF7">
            <w:pPr>
              <w:pStyle w:val="sBullet"/>
              <w:numPr>
                <w:ilvl w:val="0"/>
                <w:numId w:val="0"/>
              </w:numPr>
              <w:spacing w:before="120" w:after="120"/>
              <w:ind w:left="-20"/>
              <w:contextualSpacing w:val="0"/>
            </w:pPr>
            <w:r>
              <w:t xml:space="preserve">USA – </w:t>
            </w:r>
            <w:proofErr w:type="spellStart"/>
            <w:r>
              <w:t>Gefahrstoff-Überwachungsgesetz</w:t>
            </w:r>
            <w:proofErr w:type="spellEnd"/>
            <w:r>
              <w:t xml:space="preserve">, </w:t>
            </w:r>
            <w:proofErr w:type="spellStart"/>
            <w:r>
              <w:t>Arbeitsschutzbestimmungen</w:t>
            </w:r>
            <w:proofErr w:type="spellEnd"/>
            <w:r>
              <w:t xml:space="preserve"> (29 CFR 1910.1001-1051)</w:t>
            </w:r>
          </w:p>
        </w:tc>
      </w:tr>
      <w:tr w:rsidR="00DC0DF7" w:rsidRPr="009466F7" w14:paraId="01C372C1" w14:textId="77777777" w:rsidTr="00A37697">
        <w:trPr>
          <w:gridBefore w:val="1"/>
          <w:wBefore w:w="9" w:type="dxa"/>
          <w:cantSplit/>
        </w:trPr>
        <w:tc>
          <w:tcPr>
            <w:tcW w:w="2055" w:type="dxa"/>
          </w:tcPr>
          <w:p w14:paraId="01C372B7" w14:textId="5B423A6D"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Azoverbindungen</w:t>
            </w:r>
            <w:proofErr w:type="spellEnd"/>
            <w:r>
              <w:rPr>
                <w:color w:val="000000"/>
                <w:sz w:val="16"/>
                <w:szCs w:val="16"/>
              </w:rPr>
              <w:t xml:space="preserve"> (</w:t>
            </w:r>
            <w:proofErr w:type="spellStart"/>
            <w:r>
              <w:rPr>
                <w:color w:val="000000"/>
                <w:sz w:val="16"/>
                <w:szCs w:val="16"/>
              </w:rPr>
              <w:t>Farbstoffe</w:t>
            </w:r>
            <w:proofErr w:type="spellEnd"/>
            <w:r>
              <w:rPr>
                <w:color w:val="000000"/>
                <w:sz w:val="16"/>
                <w:szCs w:val="16"/>
              </w:rPr>
              <w:t>)</w:t>
            </w:r>
          </w:p>
        </w:tc>
        <w:tc>
          <w:tcPr>
            <w:tcW w:w="1094" w:type="dxa"/>
          </w:tcPr>
          <w:p w14:paraId="01C372B8" w14:textId="1F7429F8"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467ACD6F" w14:textId="77777777" w:rsidR="00DC0DF7" w:rsidRPr="004E46E3" w:rsidRDefault="00DC0DF7" w:rsidP="00DC0DF7">
            <w:pPr>
              <w:tabs>
                <w:tab w:val="left" w:pos="87"/>
              </w:tabs>
              <w:spacing w:before="120" w:after="120"/>
              <w:ind w:left="-3"/>
              <w:rPr>
                <w:color w:val="000000"/>
                <w:sz w:val="16"/>
                <w:szCs w:val="16"/>
                <w:lang w:val="de-DE"/>
              </w:rPr>
            </w:pPr>
            <w:r w:rsidRPr="004E46E3">
              <w:rPr>
                <w:sz w:val="16"/>
                <w:szCs w:val="16"/>
                <w:lang w:val="de-DE"/>
              </w:rPr>
              <w:t>Angegebene Azofarbstoffe (und die angegebenen Chemikalie aus dem Herstellungsprozess) dürfen in Produkten (Textil oder Leder) nicht enthalten sein, falls sie aromatische Amine aus Anhang 8 der Verordnung EG 1907/2006 in Konzentrationen größer oder gleich 0,003 Gewichts-% (30 ppm) in homogenen Materialien freigeben, wenn das Material in längerfristigen, direkten Kontakt mit der ungeschützten Haut kommen kann.</w:t>
            </w:r>
          </w:p>
          <w:p w14:paraId="7027F9F5" w14:textId="77777777" w:rsidR="00DC0DF7" w:rsidRPr="004E46E3" w:rsidRDefault="00DC0DF7" w:rsidP="00DC0DF7">
            <w:pPr>
              <w:keepNext/>
              <w:keepLines/>
              <w:spacing w:before="120" w:after="120"/>
              <w:ind w:left="-3"/>
              <w:rPr>
                <w:color w:val="000000"/>
                <w:sz w:val="16"/>
                <w:szCs w:val="16"/>
                <w:lang w:val="de-DE"/>
              </w:rPr>
            </w:pPr>
          </w:p>
          <w:p w14:paraId="01C372BB" w14:textId="77777777" w:rsidR="00DC0DF7" w:rsidRPr="0047333F" w:rsidRDefault="00DC0DF7" w:rsidP="00DC0DF7">
            <w:pPr>
              <w:keepNext/>
              <w:keepLines/>
              <w:spacing w:before="120" w:after="120"/>
              <w:ind w:left="-3"/>
              <w:rPr>
                <w:color w:val="000000" w:themeColor="text1"/>
                <w:sz w:val="16"/>
                <w:szCs w:val="16"/>
              </w:rPr>
            </w:pPr>
          </w:p>
        </w:tc>
        <w:tc>
          <w:tcPr>
            <w:tcW w:w="2432" w:type="dxa"/>
            <w:gridSpan w:val="2"/>
          </w:tcPr>
          <w:p w14:paraId="33248601" w14:textId="77777777" w:rsidR="00DC0DF7" w:rsidRPr="00C175FC" w:rsidRDefault="00DC0DF7" w:rsidP="00DC0DF7">
            <w:pPr>
              <w:pStyle w:val="sBullet"/>
              <w:numPr>
                <w:ilvl w:val="0"/>
                <w:numId w:val="0"/>
              </w:numPr>
              <w:spacing w:before="120" w:after="120"/>
              <w:ind w:left="-1"/>
              <w:contextualSpacing w:val="0"/>
            </w:pPr>
            <w:r>
              <w:t xml:space="preserve">EG – </w:t>
            </w:r>
            <w:proofErr w:type="spellStart"/>
            <w:r>
              <w:t>Verordnung</w:t>
            </w:r>
            <w:proofErr w:type="spellEnd"/>
            <w:r>
              <w:t xml:space="preserve"> 1907/2006/EG </w:t>
            </w:r>
            <w:proofErr w:type="spellStart"/>
            <w:r>
              <w:t>Anhang</w:t>
            </w:r>
            <w:proofErr w:type="spellEnd"/>
            <w:r>
              <w:t xml:space="preserve"> 11 und </w:t>
            </w:r>
            <w:proofErr w:type="spellStart"/>
            <w:r>
              <w:t>Ergänzungen</w:t>
            </w:r>
            <w:proofErr w:type="spellEnd"/>
          </w:p>
          <w:p w14:paraId="1B35A224" w14:textId="77777777" w:rsidR="00DC0DF7" w:rsidRPr="00C175FC" w:rsidRDefault="00DC0DF7" w:rsidP="00DC0DF7">
            <w:pPr>
              <w:pStyle w:val="sBullet"/>
              <w:numPr>
                <w:ilvl w:val="0"/>
                <w:numId w:val="0"/>
              </w:numPr>
              <w:spacing w:before="120" w:after="120"/>
              <w:ind w:left="-1"/>
              <w:contextualSpacing w:val="0"/>
            </w:pPr>
            <w:r>
              <w:t xml:space="preserve">Japan - </w:t>
            </w:r>
            <w:proofErr w:type="spellStart"/>
            <w:r>
              <w:t>Gesetz</w:t>
            </w:r>
            <w:proofErr w:type="spellEnd"/>
            <w:r>
              <w:t xml:space="preserve"> </w:t>
            </w:r>
            <w:proofErr w:type="spellStart"/>
            <w:r>
              <w:t>für</w:t>
            </w:r>
            <w:proofErr w:type="spellEnd"/>
            <w:r>
              <w:t xml:space="preserve"> </w:t>
            </w:r>
            <w:proofErr w:type="spellStart"/>
            <w:r>
              <w:t>industrielle</w:t>
            </w:r>
            <w:proofErr w:type="spellEnd"/>
            <w:r>
              <w:t xml:space="preserve"> </w:t>
            </w:r>
            <w:proofErr w:type="spellStart"/>
            <w:r>
              <w:t>Sicherheit</w:t>
            </w:r>
            <w:proofErr w:type="spellEnd"/>
            <w:r>
              <w:t xml:space="preserve"> und Gesundheit</w:t>
            </w:r>
          </w:p>
          <w:p w14:paraId="739A0762" w14:textId="77777777" w:rsidR="00DC0DF7" w:rsidRPr="00C175FC" w:rsidRDefault="00DC0DF7" w:rsidP="00DC0DF7">
            <w:pPr>
              <w:pStyle w:val="sBullet"/>
              <w:numPr>
                <w:ilvl w:val="0"/>
                <w:numId w:val="0"/>
              </w:numPr>
              <w:spacing w:before="120" w:after="120"/>
              <w:ind w:left="-1"/>
              <w:contextualSpacing w:val="0"/>
            </w:pPr>
            <w:r>
              <w:t xml:space="preserve">Deutschland – </w:t>
            </w:r>
            <w:proofErr w:type="spellStart"/>
            <w:r>
              <w:t>Chemikalien-Verbotsverordnung</w:t>
            </w:r>
            <w:proofErr w:type="spellEnd"/>
            <w:r>
              <w:t xml:space="preserve"> (</w:t>
            </w:r>
            <w:proofErr w:type="spellStart"/>
            <w:r>
              <w:t>ChemVerbotsV</w:t>
            </w:r>
            <w:proofErr w:type="spellEnd"/>
            <w:r>
              <w:t>)</w:t>
            </w:r>
          </w:p>
          <w:p w14:paraId="771A1F4D" w14:textId="77777777" w:rsidR="00DC0DF7" w:rsidRPr="00C175FC" w:rsidRDefault="00DC0DF7" w:rsidP="00DC0DF7">
            <w:pPr>
              <w:pStyle w:val="sBullet"/>
              <w:numPr>
                <w:ilvl w:val="0"/>
                <w:numId w:val="0"/>
              </w:numPr>
              <w:spacing w:before="120" w:after="120"/>
              <w:ind w:left="-1"/>
              <w:contextualSpacing w:val="0"/>
            </w:pPr>
            <w:r>
              <w:t xml:space="preserve">Schweiz – </w:t>
            </w:r>
            <w:proofErr w:type="spellStart"/>
            <w:r>
              <w:t>Chemikalien-Risikoreduktions-Verordnung</w:t>
            </w:r>
            <w:proofErr w:type="spellEnd"/>
            <w:r>
              <w:t xml:space="preserve"> (</w:t>
            </w:r>
            <w:proofErr w:type="spellStart"/>
            <w:r>
              <w:t>ChemRRV</w:t>
            </w:r>
            <w:proofErr w:type="spellEnd"/>
            <w:r>
              <w:t>)</w:t>
            </w:r>
          </w:p>
          <w:p w14:paraId="01C372C0" w14:textId="402FD1F8" w:rsidR="00DC0DF7" w:rsidRPr="0038743A" w:rsidRDefault="00DC0DF7" w:rsidP="00DC0DF7">
            <w:pPr>
              <w:pStyle w:val="sBullet"/>
              <w:numPr>
                <w:ilvl w:val="0"/>
                <w:numId w:val="0"/>
              </w:numPr>
              <w:spacing w:before="120" w:after="120"/>
              <w:ind w:left="-1"/>
              <w:contextualSpacing w:val="0"/>
            </w:pPr>
            <w:r>
              <w:t xml:space="preserve">USA – </w:t>
            </w:r>
            <w:proofErr w:type="spellStart"/>
            <w:r>
              <w:t>Gefahrstoff-Überwachungsgesetz</w:t>
            </w:r>
            <w:proofErr w:type="spellEnd"/>
            <w:r>
              <w:t xml:space="preserve">, </w:t>
            </w:r>
            <w:proofErr w:type="spellStart"/>
            <w:r>
              <w:t>Arbeitsschutzbestimmungen</w:t>
            </w:r>
            <w:proofErr w:type="spellEnd"/>
            <w:r>
              <w:t xml:space="preserve"> (29 CFR 1910.1001-1051)</w:t>
            </w:r>
          </w:p>
        </w:tc>
      </w:tr>
      <w:tr w:rsidR="00DC0DF7" w:rsidRPr="00BA64FA" w14:paraId="01C372C8" w14:textId="77777777" w:rsidTr="00A37697">
        <w:trPr>
          <w:gridBefore w:val="1"/>
          <w:wBefore w:w="9" w:type="dxa"/>
          <w:cantSplit/>
        </w:trPr>
        <w:tc>
          <w:tcPr>
            <w:tcW w:w="2055" w:type="dxa"/>
          </w:tcPr>
          <w:p w14:paraId="01C372C2" w14:textId="3E0801B3" w:rsidR="00DC0DF7" w:rsidRPr="00BA64FA" w:rsidRDefault="00DC0DF7" w:rsidP="00DC0DF7">
            <w:pPr>
              <w:keepNext/>
              <w:keepLines/>
              <w:spacing w:before="120" w:after="120"/>
              <w:rPr>
                <w:color w:val="000000" w:themeColor="text1"/>
                <w:sz w:val="16"/>
                <w:szCs w:val="16"/>
              </w:rPr>
            </w:pPr>
            <w:r>
              <w:rPr>
                <w:color w:val="000000"/>
                <w:sz w:val="16"/>
                <w:szCs w:val="16"/>
              </w:rPr>
              <w:t>Benzol</w:t>
            </w:r>
          </w:p>
        </w:tc>
        <w:tc>
          <w:tcPr>
            <w:tcW w:w="1094" w:type="dxa"/>
          </w:tcPr>
          <w:p w14:paraId="01C372C3" w14:textId="37E05E6D" w:rsidR="00DC0DF7" w:rsidRPr="00BA64FA" w:rsidRDefault="00DC0DF7" w:rsidP="00DC0DF7">
            <w:pPr>
              <w:keepNext/>
              <w:keepLines/>
              <w:spacing w:before="120" w:after="120"/>
              <w:jc w:val="center"/>
              <w:rPr>
                <w:color w:val="000000" w:themeColor="text1"/>
                <w:sz w:val="16"/>
                <w:szCs w:val="16"/>
              </w:rPr>
            </w:pPr>
            <w:r>
              <w:rPr>
                <w:color w:val="000000"/>
                <w:sz w:val="16"/>
                <w:szCs w:val="16"/>
              </w:rPr>
              <w:t>71-43-2</w:t>
            </w:r>
          </w:p>
        </w:tc>
        <w:tc>
          <w:tcPr>
            <w:tcW w:w="3959" w:type="dxa"/>
          </w:tcPr>
          <w:p w14:paraId="6DC35811"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t>Darf für auf dem Markt erhältliche Stoffe nicht in Konzentrationen von &gt; 0,1% verwendet werden.</w:t>
            </w:r>
          </w:p>
          <w:p w14:paraId="01C372C5" w14:textId="7A167E15" w:rsidR="00DC0DF7" w:rsidRPr="00BA64FA" w:rsidRDefault="00DC0DF7" w:rsidP="00DC0DF7">
            <w:pPr>
              <w:keepNext/>
              <w:keepLines/>
              <w:spacing w:before="120" w:after="120"/>
              <w:rPr>
                <w:color w:val="000000" w:themeColor="text1"/>
                <w:sz w:val="16"/>
                <w:szCs w:val="16"/>
              </w:rPr>
            </w:pPr>
            <w:r w:rsidRPr="004E46E3">
              <w:rPr>
                <w:color w:val="000000"/>
                <w:sz w:val="16"/>
                <w:szCs w:val="16"/>
                <w:lang w:val="de-DE"/>
              </w:rPr>
              <w:t>Darf nicht in Gummizement (Rubber Cement) verwendet werden, wenn der Benzolgehalt mehr als 5 % des Lösungsmittels (inkl. Verdünnungsmittel) im Gummizement beträgt.</w:t>
            </w:r>
          </w:p>
        </w:tc>
        <w:tc>
          <w:tcPr>
            <w:tcW w:w="2432" w:type="dxa"/>
            <w:gridSpan w:val="2"/>
          </w:tcPr>
          <w:p w14:paraId="4B853B2A" w14:textId="77777777" w:rsidR="00DC0DF7" w:rsidRPr="00C175FC" w:rsidRDefault="00DC0DF7" w:rsidP="00DC0DF7">
            <w:pPr>
              <w:pStyle w:val="sBullet"/>
              <w:numPr>
                <w:ilvl w:val="0"/>
                <w:numId w:val="0"/>
              </w:numPr>
              <w:spacing w:before="120" w:after="120"/>
              <w:ind w:left="-1"/>
              <w:contextualSpacing w:val="0"/>
            </w:pPr>
            <w:r>
              <w:t xml:space="preserve">EG – </w:t>
            </w:r>
            <w:proofErr w:type="spellStart"/>
            <w:r>
              <w:t>Verordnung</w:t>
            </w:r>
            <w:proofErr w:type="spellEnd"/>
            <w:r>
              <w:t xml:space="preserve"> 1907/2006/EG </w:t>
            </w:r>
            <w:proofErr w:type="spellStart"/>
            <w:r>
              <w:t>Anhang</w:t>
            </w:r>
            <w:proofErr w:type="spellEnd"/>
            <w:r>
              <w:t xml:space="preserve"> 11 und </w:t>
            </w:r>
            <w:proofErr w:type="spellStart"/>
            <w:r>
              <w:t>Ergänzungen</w:t>
            </w:r>
            <w:proofErr w:type="spellEnd"/>
          </w:p>
          <w:p w14:paraId="01C372C7" w14:textId="513B9239" w:rsidR="00DC0DF7" w:rsidRPr="00BA64FA" w:rsidRDefault="00DC0DF7" w:rsidP="00DC0DF7">
            <w:pPr>
              <w:keepNext/>
              <w:keepLines/>
              <w:spacing w:before="120" w:after="120"/>
              <w:rPr>
                <w:color w:val="000000" w:themeColor="text1"/>
                <w:sz w:val="16"/>
                <w:szCs w:val="16"/>
              </w:rPr>
            </w:pPr>
            <w:r w:rsidRPr="004E46E3">
              <w:rPr>
                <w:color w:val="000000"/>
                <w:sz w:val="16"/>
                <w:szCs w:val="16"/>
                <w:lang w:val="de-DE"/>
              </w:rPr>
              <w:t>Japan - Gesetz für industrielle Sicherheit und Gesundheit</w:t>
            </w:r>
          </w:p>
        </w:tc>
      </w:tr>
      <w:tr w:rsidR="00DC0DF7" w:rsidRPr="009466F7" w14:paraId="01C372CD" w14:textId="77777777" w:rsidTr="00A37697">
        <w:trPr>
          <w:gridBefore w:val="1"/>
          <w:wBefore w:w="9" w:type="dxa"/>
          <w:cantSplit/>
        </w:trPr>
        <w:tc>
          <w:tcPr>
            <w:tcW w:w="2055" w:type="dxa"/>
          </w:tcPr>
          <w:p w14:paraId="01C372C9" w14:textId="50B8F23C"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Berylliumoxid</w:t>
            </w:r>
            <w:proofErr w:type="spellEnd"/>
          </w:p>
        </w:tc>
        <w:tc>
          <w:tcPr>
            <w:tcW w:w="1094" w:type="dxa"/>
          </w:tcPr>
          <w:p w14:paraId="01C372CA" w14:textId="2C793DE2" w:rsidR="00DC0DF7" w:rsidRPr="00E5181A" w:rsidRDefault="00DC0DF7" w:rsidP="00DC0DF7">
            <w:pPr>
              <w:keepNext/>
              <w:keepLines/>
              <w:spacing w:before="120" w:after="120"/>
              <w:jc w:val="center"/>
              <w:rPr>
                <w:color w:val="000000" w:themeColor="text1"/>
                <w:sz w:val="16"/>
                <w:szCs w:val="16"/>
              </w:rPr>
            </w:pPr>
            <w:r>
              <w:rPr>
                <w:color w:val="000000"/>
                <w:sz w:val="16"/>
                <w:szCs w:val="16"/>
              </w:rPr>
              <w:t>1304-56-9</w:t>
            </w:r>
          </w:p>
        </w:tc>
        <w:tc>
          <w:tcPr>
            <w:tcW w:w="3959" w:type="dxa"/>
          </w:tcPr>
          <w:p w14:paraId="01C372CB" w14:textId="5AEF0AD3" w:rsidR="00DC0DF7" w:rsidRPr="00E5181A" w:rsidRDefault="00DC0DF7" w:rsidP="00DC0DF7">
            <w:pPr>
              <w:pStyle w:val="sBullet"/>
              <w:numPr>
                <w:ilvl w:val="0"/>
                <w:numId w:val="0"/>
              </w:numPr>
              <w:tabs>
                <w:tab w:val="left" w:pos="69"/>
              </w:tabs>
              <w:spacing w:before="120" w:after="120"/>
              <w:contextualSpacing w:val="0"/>
            </w:pPr>
            <w:proofErr w:type="spellStart"/>
            <w:r>
              <w:t>Standardmeldepflicht</w:t>
            </w:r>
            <w:proofErr w:type="spellEnd"/>
            <w:r>
              <w:t xml:space="preserve"> </w:t>
            </w:r>
            <w:proofErr w:type="spellStart"/>
            <w:r>
              <w:t>bei</w:t>
            </w:r>
            <w:proofErr w:type="spellEnd"/>
            <w:r>
              <w:t xml:space="preserve"> 0,1 </w:t>
            </w:r>
            <w:proofErr w:type="spellStart"/>
            <w:r>
              <w:t>Gewichts</w:t>
            </w:r>
            <w:proofErr w:type="spellEnd"/>
            <w:r>
              <w:t xml:space="preserve">-% (1000 ppm) in den </w:t>
            </w:r>
            <w:proofErr w:type="spellStart"/>
            <w:r>
              <w:t>Stoffen</w:t>
            </w:r>
            <w:proofErr w:type="spellEnd"/>
            <w:r>
              <w:t>.</w:t>
            </w:r>
          </w:p>
        </w:tc>
        <w:tc>
          <w:tcPr>
            <w:tcW w:w="2432" w:type="dxa"/>
            <w:gridSpan w:val="2"/>
          </w:tcPr>
          <w:p w14:paraId="01C372CC" w14:textId="6C168F33" w:rsidR="00DC0DF7" w:rsidRPr="00E5181A" w:rsidRDefault="00DC0DF7" w:rsidP="00DC0DF7">
            <w:pPr>
              <w:pStyle w:val="sBullet"/>
              <w:numPr>
                <w:ilvl w:val="0"/>
                <w:numId w:val="0"/>
              </w:numPr>
              <w:tabs>
                <w:tab w:val="left" w:pos="69"/>
              </w:tabs>
              <w:spacing w:before="120" w:after="120"/>
              <w:contextualSpacing w:val="0"/>
            </w:pPr>
            <w:r>
              <w:t>EG – EERA/</w:t>
            </w:r>
            <w:proofErr w:type="spellStart"/>
            <w:r>
              <w:t>AeA</w:t>
            </w:r>
            <w:proofErr w:type="spellEnd"/>
            <w:r>
              <w:t>/CECED</w:t>
            </w:r>
          </w:p>
        </w:tc>
      </w:tr>
      <w:tr w:rsidR="00DC0DF7" w:rsidRPr="001571DE" w14:paraId="01C372D2"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CE" w14:textId="357B1303" w:rsidR="00DC0DF7" w:rsidRPr="00E5181A" w:rsidRDefault="00DC0DF7" w:rsidP="00DC0DF7">
            <w:pPr>
              <w:keepNext/>
              <w:keepLines/>
              <w:spacing w:before="120" w:after="120"/>
              <w:rPr>
                <w:color w:val="000000" w:themeColor="text1"/>
                <w:sz w:val="16"/>
                <w:szCs w:val="16"/>
              </w:rPr>
            </w:pPr>
            <w:r>
              <w:rPr>
                <w:color w:val="000000"/>
                <w:sz w:val="16"/>
                <w:szCs w:val="16"/>
              </w:rPr>
              <w:t>Bisphenol-A</w:t>
            </w:r>
          </w:p>
        </w:tc>
        <w:tc>
          <w:tcPr>
            <w:tcW w:w="1094" w:type="dxa"/>
          </w:tcPr>
          <w:p w14:paraId="01C372CF" w14:textId="701B6173" w:rsidR="00DC0DF7" w:rsidRPr="00E5181A" w:rsidRDefault="00DC0DF7" w:rsidP="00DC0DF7">
            <w:pPr>
              <w:keepNext/>
              <w:keepLines/>
              <w:spacing w:before="120" w:after="120"/>
              <w:jc w:val="center"/>
              <w:rPr>
                <w:color w:val="000000" w:themeColor="text1"/>
                <w:sz w:val="16"/>
                <w:szCs w:val="16"/>
              </w:rPr>
            </w:pPr>
            <w:r>
              <w:rPr>
                <w:color w:val="000000"/>
                <w:sz w:val="16"/>
                <w:szCs w:val="16"/>
              </w:rPr>
              <w:t>80-05-7</w:t>
            </w:r>
          </w:p>
        </w:tc>
        <w:tc>
          <w:tcPr>
            <w:tcW w:w="3959" w:type="dxa"/>
          </w:tcPr>
          <w:p w14:paraId="01C372D0" w14:textId="0AB3420A" w:rsidR="00DC0DF7" w:rsidRPr="00E5181A" w:rsidRDefault="00DC0DF7" w:rsidP="00DC0DF7">
            <w:pPr>
              <w:pStyle w:val="sBullet"/>
              <w:numPr>
                <w:ilvl w:val="0"/>
                <w:numId w:val="0"/>
              </w:numPr>
              <w:spacing w:before="120" w:after="120"/>
              <w:contextualSpacing w:val="0"/>
            </w:pPr>
            <w:proofErr w:type="spellStart"/>
            <w:r>
              <w:t>Standardmeldepflicht</w:t>
            </w:r>
            <w:proofErr w:type="spellEnd"/>
            <w:r>
              <w:t xml:space="preserve"> </w:t>
            </w:r>
            <w:proofErr w:type="spellStart"/>
            <w:r>
              <w:t>bei</w:t>
            </w:r>
            <w:proofErr w:type="spellEnd"/>
            <w:r>
              <w:t xml:space="preserve"> 0,1 </w:t>
            </w:r>
            <w:proofErr w:type="spellStart"/>
            <w:r>
              <w:t>Gewichts</w:t>
            </w:r>
            <w:proofErr w:type="spellEnd"/>
            <w:r>
              <w:t xml:space="preserve">-% (1000 ppm) in </w:t>
            </w:r>
            <w:proofErr w:type="spellStart"/>
            <w:r>
              <w:t>homogenen</w:t>
            </w:r>
            <w:proofErr w:type="spellEnd"/>
            <w:r>
              <w:t xml:space="preserve"> </w:t>
            </w:r>
            <w:proofErr w:type="spellStart"/>
            <w:r>
              <w:t>Materialien</w:t>
            </w:r>
            <w:proofErr w:type="spellEnd"/>
            <w:r>
              <w:t>.</w:t>
            </w:r>
          </w:p>
        </w:tc>
        <w:tc>
          <w:tcPr>
            <w:tcW w:w="2425" w:type="dxa"/>
          </w:tcPr>
          <w:p w14:paraId="01C372D1" w14:textId="062209E9" w:rsidR="00DC0DF7" w:rsidRPr="00E5181A" w:rsidRDefault="00DC0DF7" w:rsidP="00DC0DF7">
            <w:pPr>
              <w:pStyle w:val="sBullet"/>
              <w:numPr>
                <w:ilvl w:val="0"/>
                <w:numId w:val="0"/>
              </w:numPr>
              <w:spacing w:before="120" w:after="120"/>
              <w:contextualSpacing w:val="0"/>
            </w:pPr>
            <w:proofErr w:type="spellStart"/>
            <w:r>
              <w:t>Generelle</w:t>
            </w:r>
            <w:proofErr w:type="spellEnd"/>
            <w:r>
              <w:t xml:space="preserve"> </w:t>
            </w:r>
            <w:proofErr w:type="spellStart"/>
            <w:r>
              <w:t>Bedenken</w:t>
            </w:r>
            <w:proofErr w:type="spellEnd"/>
            <w:r>
              <w:t xml:space="preserve"> der </w:t>
            </w:r>
            <w:proofErr w:type="spellStart"/>
            <w:r>
              <w:t>Industrie</w:t>
            </w:r>
            <w:proofErr w:type="spellEnd"/>
          </w:p>
        </w:tc>
      </w:tr>
      <w:tr w:rsidR="00DC0DF7" w:rsidRPr="001571DE" w14:paraId="06427CC5"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1ECB2FD3" w14:textId="7B524750"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lastRenderedPageBreak/>
              <w:t>Biozide</w:t>
            </w:r>
            <w:proofErr w:type="spellEnd"/>
          </w:p>
        </w:tc>
        <w:tc>
          <w:tcPr>
            <w:tcW w:w="1094" w:type="dxa"/>
          </w:tcPr>
          <w:p w14:paraId="73F676BC" w14:textId="3139C76C"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5135F645" w14:textId="06D08167" w:rsidR="00DC0DF7" w:rsidRPr="00E5181A" w:rsidRDefault="00DC0DF7" w:rsidP="00DC0DF7">
            <w:pPr>
              <w:pStyle w:val="sBullet"/>
              <w:numPr>
                <w:ilvl w:val="0"/>
                <w:numId w:val="0"/>
              </w:numPr>
              <w:spacing w:before="120" w:after="120"/>
              <w:contextualSpacing w:val="0"/>
            </w:pPr>
            <w:r>
              <w:t xml:space="preserve">Die </w:t>
            </w:r>
            <w:proofErr w:type="spellStart"/>
            <w:r>
              <w:t>Behandlung</w:t>
            </w:r>
            <w:proofErr w:type="spellEnd"/>
            <w:r>
              <w:t xml:space="preserve"> von </w:t>
            </w:r>
            <w:proofErr w:type="spellStart"/>
            <w:r>
              <w:t>Materialien</w:t>
            </w:r>
            <w:proofErr w:type="spellEnd"/>
            <w:r>
              <w:t xml:space="preserve"> </w:t>
            </w:r>
            <w:proofErr w:type="spellStart"/>
            <w:r>
              <w:t>oder</w:t>
            </w:r>
            <w:proofErr w:type="spellEnd"/>
            <w:r>
              <w:t xml:space="preserve"> die </w:t>
            </w:r>
            <w:proofErr w:type="spellStart"/>
            <w:r>
              <w:t>beabsichtigte</w:t>
            </w:r>
            <w:proofErr w:type="spellEnd"/>
            <w:r>
              <w:t xml:space="preserve"> </w:t>
            </w:r>
            <w:proofErr w:type="spellStart"/>
            <w:r>
              <w:t>Verwendung</w:t>
            </w:r>
            <w:proofErr w:type="spellEnd"/>
            <w:r>
              <w:t xml:space="preserve"> von </w:t>
            </w:r>
            <w:proofErr w:type="spellStart"/>
            <w:r>
              <w:t>Biozidstoffen</w:t>
            </w:r>
            <w:proofErr w:type="spellEnd"/>
            <w:r>
              <w:t xml:space="preserve"> muss in </w:t>
            </w:r>
            <w:proofErr w:type="spellStart"/>
            <w:r>
              <w:t>Übereinstimmung</w:t>
            </w:r>
            <w:proofErr w:type="spellEnd"/>
            <w:r>
              <w:t xml:space="preserve"> </w:t>
            </w:r>
            <w:proofErr w:type="spellStart"/>
            <w:r>
              <w:t>mit</w:t>
            </w:r>
            <w:proofErr w:type="spellEnd"/>
            <w:r>
              <w:t xml:space="preserve"> den </w:t>
            </w:r>
            <w:proofErr w:type="spellStart"/>
            <w:r>
              <w:t>referenzierten</w:t>
            </w:r>
            <w:proofErr w:type="spellEnd"/>
            <w:r>
              <w:t xml:space="preserve"> EU-</w:t>
            </w:r>
            <w:proofErr w:type="spellStart"/>
            <w:r>
              <w:t>Biozid</w:t>
            </w:r>
            <w:proofErr w:type="spellEnd"/>
            <w:r>
              <w:t>-</w:t>
            </w:r>
            <w:proofErr w:type="spellStart"/>
            <w:r>
              <w:t>Richtlinien</w:t>
            </w:r>
            <w:proofErr w:type="spellEnd"/>
            <w:r>
              <w:t xml:space="preserve"> </w:t>
            </w:r>
            <w:proofErr w:type="spellStart"/>
            <w:r>
              <w:t>geschehen</w:t>
            </w:r>
            <w:proofErr w:type="spellEnd"/>
            <w:r>
              <w:t xml:space="preserve">. Die </w:t>
            </w:r>
            <w:proofErr w:type="spellStart"/>
            <w:r>
              <w:t>Verwendung</w:t>
            </w:r>
            <w:proofErr w:type="spellEnd"/>
            <w:r>
              <w:t xml:space="preserve"> von </w:t>
            </w:r>
            <w:proofErr w:type="spellStart"/>
            <w:r>
              <w:t>Bioziden</w:t>
            </w:r>
            <w:proofErr w:type="spellEnd"/>
            <w:r>
              <w:t xml:space="preserve"> in an </w:t>
            </w:r>
            <w:proofErr w:type="spellStart"/>
            <w:r>
              <w:t>uns</w:t>
            </w:r>
            <w:proofErr w:type="spellEnd"/>
            <w:r>
              <w:t xml:space="preserve"> </w:t>
            </w:r>
            <w:proofErr w:type="spellStart"/>
            <w:r>
              <w:t>geliefterte</w:t>
            </w:r>
            <w:proofErr w:type="spellEnd"/>
            <w:r>
              <w:t xml:space="preserve"> </w:t>
            </w:r>
            <w:proofErr w:type="spellStart"/>
            <w:r>
              <w:t>Produkte</w:t>
            </w:r>
            <w:proofErr w:type="spellEnd"/>
            <w:r>
              <w:t xml:space="preserve"> muss </w:t>
            </w:r>
            <w:proofErr w:type="spellStart"/>
            <w:r>
              <w:t>angegeben</w:t>
            </w:r>
            <w:proofErr w:type="spellEnd"/>
            <w:r>
              <w:t xml:space="preserve"> </w:t>
            </w:r>
            <w:proofErr w:type="spellStart"/>
            <w:r>
              <w:t>werden</w:t>
            </w:r>
            <w:proofErr w:type="spellEnd"/>
            <w:r>
              <w:t>.</w:t>
            </w:r>
          </w:p>
        </w:tc>
        <w:tc>
          <w:tcPr>
            <w:tcW w:w="2425" w:type="dxa"/>
          </w:tcPr>
          <w:p w14:paraId="1E35852B" w14:textId="2A939849" w:rsidR="00DC0DF7" w:rsidRPr="00E5181A"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EG 528/2012 und </w:t>
            </w:r>
            <w:proofErr w:type="spellStart"/>
            <w:r>
              <w:t>Ergänzungen</w:t>
            </w:r>
            <w:proofErr w:type="spellEnd"/>
          </w:p>
        </w:tc>
      </w:tr>
      <w:tr w:rsidR="00DC0DF7" w:rsidRPr="005B45F5" w14:paraId="01C372DA"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D3" w14:textId="4629085D" w:rsidR="00DC0DF7" w:rsidRPr="00E5181A" w:rsidRDefault="00DC0DF7" w:rsidP="00DC0DF7">
            <w:pPr>
              <w:keepNext/>
              <w:keepLines/>
              <w:spacing w:before="120" w:after="120"/>
              <w:rPr>
                <w:color w:val="000000" w:themeColor="text1"/>
                <w:sz w:val="16"/>
                <w:szCs w:val="16"/>
              </w:rPr>
            </w:pPr>
            <w:r w:rsidRPr="004E46E3">
              <w:rPr>
                <w:color w:val="000000"/>
                <w:sz w:val="16"/>
                <w:szCs w:val="16"/>
                <w:lang w:val="de-DE"/>
              </w:rPr>
              <w:t>Andere bromierte Flammschutzmittel als PBB, PBDE oder HBCDD</w:t>
            </w:r>
          </w:p>
        </w:tc>
        <w:tc>
          <w:tcPr>
            <w:tcW w:w="1094" w:type="dxa"/>
          </w:tcPr>
          <w:p w14:paraId="01C372D4" w14:textId="46CF590E"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3D371352" w14:textId="77777777" w:rsidR="00DC0DF7" w:rsidRPr="00C175FC" w:rsidRDefault="00DC0DF7" w:rsidP="00DC0DF7">
            <w:pPr>
              <w:pStyle w:val="sBullet"/>
              <w:numPr>
                <w:ilvl w:val="0"/>
                <w:numId w:val="0"/>
              </w:numPr>
              <w:spacing w:before="120" w:after="120"/>
              <w:contextualSpacing w:val="0"/>
            </w:pPr>
            <w:proofErr w:type="spellStart"/>
            <w:r>
              <w:t>Standardmeldepflicht</w:t>
            </w:r>
            <w:proofErr w:type="spellEnd"/>
            <w:r>
              <w:t xml:space="preserve"> </w:t>
            </w:r>
            <w:proofErr w:type="spellStart"/>
            <w:r>
              <w:t>bei</w:t>
            </w:r>
            <w:proofErr w:type="spellEnd"/>
            <w:r>
              <w:t xml:space="preserve"> 0,1 </w:t>
            </w:r>
            <w:proofErr w:type="spellStart"/>
            <w:r>
              <w:t>Gewichts</w:t>
            </w:r>
            <w:proofErr w:type="spellEnd"/>
            <w:r>
              <w:t xml:space="preserve">-% (1000 ppm) </w:t>
            </w:r>
            <w:proofErr w:type="spellStart"/>
            <w:r>
              <w:t>bei</w:t>
            </w:r>
            <w:proofErr w:type="spellEnd"/>
            <w:r>
              <w:t xml:space="preserve"> der </w:t>
            </w:r>
            <w:proofErr w:type="spellStart"/>
            <w:r>
              <w:t>Verwendung</w:t>
            </w:r>
            <w:proofErr w:type="spellEnd"/>
            <w:r>
              <w:t xml:space="preserve"> in </w:t>
            </w:r>
            <w:proofErr w:type="spellStart"/>
            <w:r>
              <w:t>Kunststoffmaterialien</w:t>
            </w:r>
            <w:proofErr w:type="spellEnd"/>
            <w:r>
              <w:t xml:space="preserve"> </w:t>
            </w:r>
            <w:proofErr w:type="spellStart"/>
            <w:r>
              <w:t>mit</w:t>
            </w:r>
            <w:proofErr w:type="spellEnd"/>
            <w:r>
              <w:t xml:space="preserve"> </w:t>
            </w:r>
            <w:proofErr w:type="spellStart"/>
            <w:r>
              <w:t>mehr</w:t>
            </w:r>
            <w:proofErr w:type="spellEnd"/>
            <w:r>
              <w:t xml:space="preserve"> </w:t>
            </w:r>
            <w:proofErr w:type="spellStart"/>
            <w:r>
              <w:t>als</w:t>
            </w:r>
            <w:proofErr w:type="spellEnd"/>
            <w:r>
              <w:t xml:space="preserve"> 25 Gramm </w:t>
            </w:r>
            <w:proofErr w:type="spellStart"/>
            <w:r>
              <w:t>außer</w:t>
            </w:r>
            <w:proofErr w:type="spellEnd"/>
            <w:r>
              <w:t xml:space="preserve"> in </w:t>
            </w:r>
            <w:proofErr w:type="spellStart"/>
            <w:r>
              <w:t>Leiterplatten</w:t>
            </w:r>
            <w:proofErr w:type="spellEnd"/>
            <w:r>
              <w:t xml:space="preserve">. </w:t>
            </w:r>
          </w:p>
          <w:p w14:paraId="01C372D6" w14:textId="04ED0397" w:rsidR="00DC0DF7" w:rsidRPr="00E5181A" w:rsidRDefault="00DC0DF7" w:rsidP="00DC0DF7">
            <w:pPr>
              <w:pStyle w:val="sBullet"/>
              <w:numPr>
                <w:ilvl w:val="0"/>
                <w:numId w:val="0"/>
              </w:numPr>
              <w:spacing w:before="120" w:after="120"/>
              <w:contextualSpacing w:val="0"/>
            </w:pPr>
            <w:r>
              <w:t xml:space="preserve">0,09% (900 ppm) </w:t>
            </w:r>
            <w:proofErr w:type="spellStart"/>
            <w:r>
              <w:t>Gesamtbromgehalt</w:t>
            </w:r>
            <w:proofErr w:type="spellEnd"/>
            <w:r>
              <w:t xml:space="preserve"> </w:t>
            </w:r>
            <w:proofErr w:type="spellStart"/>
            <w:r>
              <w:t>nach</w:t>
            </w:r>
            <w:proofErr w:type="spellEnd"/>
            <w:r>
              <w:t xml:space="preserve"> </w:t>
            </w:r>
            <w:proofErr w:type="spellStart"/>
            <w:r>
              <w:t>Gewicht</w:t>
            </w:r>
            <w:proofErr w:type="spellEnd"/>
            <w:r>
              <w:t xml:space="preserve"> in den </w:t>
            </w:r>
            <w:proofErr w:type="spellStart"/>
            <w:r>
              <w:t>Laminaten</w:t>
            </w:r>
            <w:proofErr w:type="spellEnd"/>
            <w:r>
              <w:t xml:space="preserve"> von </w:t>
            </w:r>
            <w:proofErr w:type="spellStart"/>
            <w:r>
              <w:t>Leiterplatten</w:t>
            </w:r>
            <w:proofErr w:type="spellEnd"/>
            <w:r>
              <w:t>.</w:t>
            </w:r>
          </w:p>
        </w:tc>
        <w:tc>
          <w:tcPr>
            <w:tcW w:w="2425" w:type="dxa"/>
          </w:tcPr>
          <w:p w14:paraId="4A0EE090" w14:textId="77777777" w:rsidR="00DC0DF7" w:rsidRPr="00C175FC" w:rsidRDefault="00DC0DF7" w:rsidP="00DC0DF7">
            <w:pPr>
              <w:pStyle w:val="sBullet"/>
              <w:numPr>
                <w:ilvl w:val="0"/>
                <w:numId w:val="0"/>
              </w:numPr>
              <w:spacing w:before="120" w:after="120"/>
              <w:contextualSpacing w:val="0"/>
            </w:pPr>
            <w:r>
              <w:t>EG – EERA/</w:t>
            </w:r>
            <w:proofErr w:type="spellStart"/>
            <w:r>
              <w:t>AeA</w:t>
            </w:r>
            <w:proofErr w:type="spellEnd"/>
            <w:r>
              <w:t>/CECED</w:t>
            </w:r>
          </w:p>
          <w:p w14:paraId="37C9C5AF" w14:textId="77777777" w:rsidR="00DC0DF7" w:rsidRPr="00C175FC" w:rsidRDefault="00DC0DF7" w:rsidP="00DC0DF7">
            <w:pPr>
              <w:pStyle w:val="sBullet"/>
              <w:numPr>
                <w:ilvl w:val="0"/>
                <w:numId w:val="0"/>
              </w:numPr>
              <w:spacing w:before="120" w:after="120"/>
              <w:contextualSpacing w:val="0"/>
            </w:pPr>
            <w:r>
              <w:t>IPC-4101</w:t>
            </w:r>
          </w:p>
          <w:p w14:paraId="01C372D9" w14:textId="52B1AE74" w:rsidR="00DC0DF7" w:rsidRPr="00E5181A" w:rsidRDefault="00DC0DF7" w:rsidP="00DC0DF7">
            <w:pPr>
              <w:pStyle w:val="sBullet"/>
              <w:numPr>
                <w:ilvl w:val="0"/>
                <w:numId w:val="0"/>
              </w:numPr>
              <w:spacing w:before="120" w:after="120"/>
              <w:contextualSpacing w:val="0"/>
            </w:pPr>
            <w:r>
              <w:t>IEC 61249-2-21</w:t>
            </w:r>
          </w:p>
        </w:tc>
      </w:tr>
      <w:tr w:rsidR="00DC0DF7" w:rsidRPr="0075797E" w14:paraId="01C372E0"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DB" w14:textId="5FA25373" w:rsidR="00DC0DF7" w:rsidRDefault="00DC0DF7" w:rsidP="00DC0DF7">
            <w:pPr>
              <w:keepNext/>
              <w:keepLines/>
              <w:spacing w:before="120" w:after="120"/>
              <w:rPr>
                <w:color w:val="000000" w:themeColor="text1"/>
                <w:sz w:val="16"/>
                <w:szCs w:val="16"/>
              </w:rPr>
            </w:pPr>
            <w:r>
              <w:rPr>
                <w:color w:val="000000"/>
                <w:sz w:val="16"/>
                <w:szCs w:val="16"/>
              </w:rPr>
              <w:t xml:space="preserve">Cadmium und </w:t>
            </w:r>
            <w:proofErr w:type="spellStart"/>
            <w:r>
              <w:rPr>
                <w:color w:val="000000"/>
                <w:sz w:val="16"/>
                <w:szCs w:val="16"/>
              </w:rPr>
              <w:t>Cadmiumverbindungen</w:t>
            </w:r>
            <w:proofErr w:type="spellEnd"/>
          </w:p>
        </w:tc>
        <w:tc>
          <w:tcPr>
            <w:tcW w:w="1094" w:type="dxa"/>
          </w:tcPr>
          <w:p w14:paraId="01C372DC" w14:textId="46F2EAAF"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01C372DD" w14:textId="64B3AB2A" w:rsidR="00DC0DF7" w:rsidRDefault="00DC0DF7" w:rsidP="00DC0DF7">
            <w:pPr>
              <w:pStyle w:val="sBullet"/>
              <w:numPr>
                <w:ilvl w:val="0"/>
                <w:numId w:val="0"/>
              </w:numPr>
              <w:spacing w:before="120" w:after="120"/>
              <w:contextualSpacing w:val="0"/>
            </w:pPr>
            <w:proofErr w:type="spellStart"/>
            <w:r>
              <w:t>Zusätzlich</w:t>
            </w:r>
            <w:proofErr w:type="spellEnd"/>
            <w:r>
              <w:t xml:space="preserve"> </w:t>
            </w:r>
            <w:proofErr w:type="spellStart"/>
            <w:r>
              <w:t>zu</w:t>
            </w:r>
            <w:proofErr w:type="spellEnd"/>
            <w:r>
              <w:t xml:space="preserve"> den </w:t>
            </w:r>
            <w:proofErr w:type="spellStart"/>
            <w:r>
              <w:t>Einschränkungen</w:t>
            </w:r>
            <w:proofErr w:type="spellEnd"/>
            <w:r>
              <w:t xml:space="preserve"> der RoHS </w:t>
            </w:r>
            <w:proofErr w:type="spellStart"/>
            <w:r>
              <w:t>dürfen</w:t>
            </w:r>
            <w:proofErr w:type="spellEnd"/>
            <w:r>
              <w:t xml:space="preserve"> Cadmium und </w:t>
            </w:r>
            <w:proofErr w:type="spellStart"/>
            <w:r>
              <w:t>Cadmiumverbindungen</w:t>
            </w:r>
            <w:proofErr w:type="spellEnd"/>
            <w:r>
              <w:t xml:space="preserve"> in </w:t>
            </w:r>
            <w:proofErr w:type="spellStart"/>
            <w:r>
              <w:t>Erzeugnissen</w:t>
            </w:r>
            <w:proofErr w:type="spellEnd"/>
            <w:r>
              <w:t xml:space="preserve">, die in der </w:t>
            </w:r>
            <w:proofErr w:type="spellStart"/>
            <w:r>
              <w:t>Referenz</w:t>
            </w:r>
            <w:proofErr w:type="spellEnd"/>
            <w:r>
              <w:t xml:space="preserve"> </w:t>
            </w:r>
            <w:proofErr w:type="spellStart"/>
            <w:r>
              <w:t>beschrieben</w:t>
            </w:r>
            <w:proofErr w:type="spellEnd"/>
            <w:r>
              <w:t xml:space="preserve"> </w:t>
            </w:r>
            <w:proofErr w:type="spellStart"/>
            <w:r>
              <w:t>sind</w:t>
            </w:r>
            <w:proofErr w:type="spellEnd"/>
            <w:r>
              <w:t xml:space="preserve"> </w:t>
            </w:r>
            <w:proofErr w:type="spellStart"/>
            <w:r>
              <w:t>nicht</w:t>
            </w:r>
            <w:proofErr w:type="spellEnd"/>
            <w:r>
              <w:t xml:space="preserve"> </w:t>
            </w:r>
            <w:proofErr w:type="spellStart"/>
            <w:r>
              <w:t>verwendet</w:t>
            </w:r>
            <w:proofErr w:type="spellEnd"/>
            <w:r>
              <w:t xml:space="preserve"> </w:t>
            </w:r>
            <w:proofErr w:type="spellStart"/>
            <w:r>
              <w:t>werden</w:t>
            </w:r>
            <w:proofErr w:type="spellEnd"/>
            <w:r>
              <w:t xml:space="preserve"> </w:t>
            </w:r>
            <w:proofErr w:type="spellStart"/>
            <w:r>
              <w:t>oder</w:t>
            </w:r>
            <w:proofErr w:type="spellEnd"/>
            <w:r>
              <w:t xml:space="preserve"> </w:t>
            </w:r>
            <w:proofErr w:type="spellStart"/>
            <w:r>
              <w:t>dürfen</w:t>
            </w:r>
            <w:proofErr w:type="spellEnd"/>
            <w:r>
              <w:t xml:space="preserve"> die </w:t>
            </w:r>
            <w:proofErr w:type="spellStart"/>
            <w:r>
              <w:t>anwendbaren</w:t>
            </w:r>
            <w:proofErr w:type="spellEnd"/>
            <w:r>
              <w:t xml:space="preserve"> </w:t>
            </w:r>
            <w:proofErr w:type="spellStart"/>
            <w:r>
              <w:t>Grenzwerte</w:t>
            </w:r>
            <w:proofErr w:type="spellEnd"/>
            <w:r>
              <w:t xml:space="preserve"> </w:t>
            </w:r>
            <w:proofErr w:type="spellStart"/>
            <w:r>
              <w:t>nicht</w:t>
            </w:r>
            <w:proofErr w:type="spellEnd"/>
            <w:r>
              <w:t xml:space="preserve"> </w:t>
            </w:r>
            <w:proofErr w:type="spellStart"/>
            <w:r>
              <w:t>überschreiten</w:t>
            </w:r>
            <w:proofErr w:type="spellEnd"/>
            <w:r>
              <w:t>.</w:t>
            </w:r>
          </w:p>
        </w:tc>
        <w:tc>
          <w:tcPr>
            <w:tcW w:w="2425" w:type="dxa"/>
          </w:tcPr>
          <w:p w14:paraId="15433434" w14:textId="77777777" w:rsidR="00DC0DF7" w:rsidRPr="00C175FC" w:rsidRDefault="00DC0DF7" w:rsidP="00DC0DF7">
            <w:pPr>
              <w:pStyle w:val="sBullet"/>
              <w:numPr>
                <w:ilvl w:val="0"/>
                <w:numId w:val="0"/>
              </w:numPr>
              <w:spacing w:before="120" w:after="120"/>
              <w:ind w:left="-1"/>
              <w:contextualSpacing w:val="0"/>
            </w:pPr>
            <w:r>
              <w:t xml:space="preserve">EG – </w:t>
            </w:r>
            <w:proofErr w:type="spellStart"/>
            <w:r>
              <w:t>Verordnung</w:t>
            </w:r>
            <w:proofErr w:type="spellEnd"/>
            <w:r>
              <w:t xml:space="preserve"> 1907/2006/EG </w:t>
            </w:r>
            <w:proofErr w:type="spellStart"/>
            <w:r>
              <w:t>Anhang</w:t>
            </w:r>
            <w:proofErr w:type="spellEnd"/>
            <w:r>
              <w:t xml:space="preserve"> 11 und </w:t>
            </w:r>
            <w:proofErr w:type="spellStart"/>
            <w:r>
              <w:t>Ergänzungen</w:t>
            </w:r>
            <w:proofErr w:type="spellEnd"/>
          </w:p>
          <w:p w14:paraId="01C372DF" w14:textId="5BBA4DB0" w:rsidR="00DC0DF7" w:rsidRDefault="00DC0DF7" w:rsidP="00DC0DF7">
            <w:pPr>
              <w:pStyle w:val="sBullet"/>
              <w:numPr>
                <w:ilvl w:val="0"/>
                <w:numId w:val="0"/>
              </w:numPr>
              <w:spacing w:before="120" w:after="120"/>
              <w:ind w:left="-1"/>
              <w:contextualSpacing w:val="0"/>
            </w:pPr>
          </w:p>
        </w:tc>
      </w:tr>
      <w:tr w:rsidR="00DC0DF7" w:rsidRPr="008C1CD6" w14:paraId="0490A4E5"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3C7682E7" w14:textId="18C7320C" w:rsidR="00DC0DF7" w:rsidRPr="008C1CD6" w:rsidRDefault="00DC0DF7" w:rsidP="00DC0DF7">
            <w:pPr>
              <w:keepNext/>
              <w:keepLines/>
              <w:spacing w:before="120" w:after="120"/>
              <w:rPr>
                <w:color w:val="000000" w:themeColor="text1"/>
                <w:sz w:val="16"/>
                <w:szCs w:val="16"/>
              </w:rPr>
            </w:pPr>
            <w:proofErr w:type="spellStart"/>
            <w:r>
              <w:rPr>
                <w:color w:val="000000"/>
                <w:sz w:val="16"/>
                <w:szCs w:val="16"/>
              </w:rPr>
              <w:t>Kalifornien</w:t>
            </w:r>
            <w:proofErr w:type="spellEnd"/>
            <w:r>
              <w:rPr>
                <w:color w:val="000000"/>
                <w:sz w:val="16"/>
                <w:szCs w:val="16"/>
              </w:rPr>
              <w:t xml:space="preserve"> Proposition 65</w:t>
            </w:r>
          </w:p>
        </w:tc>
        <w:tc>
          <w:tcPr>
            <w:tcW w:w="1094" w:type="dxa"/>
          </w:tcPr>
          <w:p w14:paraId="2988A027" w14:textId="67EED02C" w:rsidR="00DC0DF7" w:rsidRPr="008C1CD6"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7974AF89" w14:textId="7091F09C" w:rsidR="00DC0DF7" w:rsidRPr="008C1CD6" w:rsidRDefault="00DC0DF7" w:rsidP="00DC0DF7">
            <w:pPr>
              <w:pStyle w:val="sBullet"/>
              <w:numPr>
                <w:ilvl w:val="0"/>
                <w:numId w:val="0"/>
              </w:numPr>
              <w:spacing w:before="120" w:after="120"/>
              <w:contextualSpacing w:val="0"/>
            </w:pPr>
            <w:r>
              <w:rPr>
                <w:szCs w:val="24"/>
              </w:rPr>
              <w:t xml:space="preserve">Es </w:t>
            </w:r>
            <w:proofErr w:type="spellStart"/>
            <w:r>
              <w:rPr>
                <w:szCs w:val="24"/>
              </w:rPr>
              <w:t>wird</w:t>
            </w:r>
            <w:proofErr w:type="spellEnd"/>
            <w:r>
              <w:rPr>
                <w:szCs w:val="24"/>
              </w:rPr>
              <w:t xml:space="preserve"> von den </w:t>
            </w:r>
            <w:proofErr w:type="spellStart"/>
            <w:r>
              <w:rPr>
                <w:szCs w:val="24"/>
              </w:rPr>
              <w:t>Lieferanten</w:t>
            </w:r>
            <w:proofErr w:type="spellEnd"/>
            <w:r>
              <w:rPr>
                <w:szCs w:val="24"/>
              </w:rPr>
              <w:t xml:space="preserve"> </w:t>
            </w:r>
            <w:proofErr w:type="spellStart"/>
            <w:r>
              <w:rPr>
                <w:szCs w:val="24"/>
              </w:rPr>
              <w:t>erwartet</w:t>
            </w:r>
            <w:proofErr w:type="spellEnd"/>
            <w:r>
              <w:rPr>
                <w:szCs w:val="24"/>
              </w:rPr>
              <w:t xml:space="preserve">, </w:t>
            </w:r>
            <w:proofErr w:type="spellStart"/>
            <w:r>
              <w:rPr>
                <w:szCs w:val="24"/>
              </w:rPr>
              <w:t>dass</w:t>
            </w:r>
            <w:proofErr w:type="spellEnd"/>
            <w:r>
              <w:rPr>
                <w:szCs w:val="24"/>
              </w:rPr>
              <w:t xml:space="preserve"> </w:t>
            </w:r>
            <w:proofErr w:type="spellStart"/>
            <w:r>
              <w:rPr>
                <w:szCs w:val="24"/>
              </w:rPr>
              <w:t>diese</w:t>
            </w:r>
            <w:proofErr w:type="spellEnd"/>
            <w:r>
              <w:rPr>
                <w:szCs w:val="24"/>
              </w:rPr>
              <w:t xml:space="preserve"> </w:t>
            </w:r>
            <w:proofErr w:type="spellStart"/>
            <w:r>
              <w:rPr>
                <w:szCs w:val="24"/>
              </w:rPr>
              <w:t>Richtlinien</w:t>
            </w:r>
            <w:proofErr w:type="spellEnd"/>
            <w:r>
              <w:rPr>
                <w:szCs w:val="24"/>
              </w:rPr>
              <w:t xml:space="preserve">, </w:t>
            </w:r>
            <w:proofErr w:type="spellStart"/>
            <w:r>
              <w:rPr>
                <w:szCs w:val="24"/>
              </w:rPr>
              <w:t>Sorgfaltspflichtsverfahren</w:t>
            </w:r>
            <w:proofErr w:type="spellEnd"/>
            <w:r>
              <w:rPr>
                <w:szCs w:val="24"/>
              </w:rPr>
              <w:t xml:space="preserve"> und </w:t>
            </w:r>
            <w:proofErr w:type="spellStart"/>
            <w:r>
              <w:rPr>
                <w:szCs w:val="24"/>
              </w:rPr>
              <w:t>Verwaltungssysteme</w:t>
            </w:r>
            <w:proofErr w:type="spellEnd"/>
            <w:r>
              <w:rPr>
                <w:szCs w:val="24"/>
              </w:rPr>
              <w:t xml:space="preserve"> </w:t>
            </w:r>
            <w:proofErr w:type="spellStart"/>
            <w:r>
              <w:rPr>
                <w:szCs w:val="24"/>
              </w:rPr>
              <w:t>wie</w:t>
            </w:r>
            <w:proofErr w:type="spellEnd"/>
            <w:r>
              <w:rPr>
                <w:szCs w:val="24"/>
              </w:rPr>
              <w:t xml:space="preserve"> </w:t>
            </w:r>
            <w:proofErr w:type="spellStart"/>
            <w:r>
              <w:rPr>
                <w:szCs w:val="24"/>
              </w:rPr>
              <w:t>gesetzlich</w:t>
            </w:r>
            <w:proofErr w:type="spellEnd"/>
            <w:r>
              <w:rPr>
                <w:szCs w:val="24"/>
              </w:rPr>
              <w:t xml:space="preserve"> </w:t>
            </w:r>
            <w:proofErr w:type="spellStart"/>
            <w:r>
              <w:rPr>
                <w:szCs w:val="24"/>
              </w:rPr>
              <w:t>vorgeschrieben</w:t>
            </w:r>
            <w:proofErr w:type="spellEnd"/>
            <w:r>
              <w:rPr>
                <w:szCs w:val="24"/>
              </w:rPr>
              <w:t xml:space="preserve"> </w:t>
            </w:r>
            <w:proofErr w:type="spellStart"/>
            <w:r>
              <w:rPr>
                <w:szCs w:val="24"/>
              </w:rPr>
              <w:t>erstellen</w:t>
            </w:r>
            <w:proofErr w:type="spellEnd"/>
            <w:r>
              <w:rPr>
                <w:szCs w:val="24"/>
              </w:rPr>
              <w:t xml:space="preserve">, um </w:t>
            </w:r>
            <w:proofErr w:type="spellStart"/>
            <w:r>
              <w:rPr>
                <w:szCs w:val="24"/>
              </w:rPr>
              <w:t>angemessene</w:t>
            </w:r>
            <w:proofErr w:type="spellEnd"/>
            <w:r>
              <w:rPr>
                <w:szCs w:val="24"/>
              </w:rPr>
              <w:t xml:space="preserve"> </w:t>
            </w:r>
            <w:proofErr w:type="spellStart"/>
            <w:r>
              <w:rPr>
                <w:szCs w:val="24"/>
              </w:rPr>
              <w:t>Nachforschungen</w:t>
            </w:r>
            <w:proofErr w:type="spellEnd"/>
            <w:r>
              <w:rPr>
                <w:szCs w:val="24"/>
              </w:rPr>
              <w:t xml:space="preserve"> </w:t>
            </w:r>
            <w:proofErr w:type="spellStart"/>
            <w:r>
              <w:rPr>
                <w:szCs w:val="24"/>
              </w:rPr>
              <w:t>durch</w:t>
            </w:r>
            <w:proofErr w:type="spellEnd"/>
            <w:r>
              <w:rPr>
                <w:szCs w:val="24"/>
              </w:rPr>
              <w:t xml:space="preserve"> X-Rite </w:t>
            </w:r>
            <w:proofErr w:type="spellStart"/>
            <w:r>
              <w:rPr>
                <w:szCs w:val="24"/>
              </w:rPr>
              <w:t>zu</w:t>
            </w:r>
            <w:proofErr w:type="spellEnd"/>
            <w:r>
              <w:rPr>
                <w:szCs w:val="24"/>
              </w:rPr>
              <w:t xml:space="preserve"> California Proposition 65 </w:t>
            </w:r>
            <w:proofErr w:type="spellStart"/>
            <w:r>
              <w:rPr>
                <w:szCs w:val="24"/>
              </w:rPr>
              <w:t>zu</w:t>
            </w:r>
            <w:proofErr w:type="spellEnd"/>
            <w:r>
              <w:rPr>
                <w:szCs w:val="24"/>
              </w:rPr>
              <w:t xml:space="preserve"> </w:t>
            </w:r>
            <w:proofErr w:type="spellStart"/>
            <w:r>
              <w:rPr>
                <w:szCs w:val="24"/>
              </w:rPr>
              <w:t>unterstützen</w:t>
            </w:r>
            <w:proofErr w:type="spellEnd"/>
            <w:r>
              <w:rPr>
                <w:szCs w:val="24"/>
              </w:rPr>
              <w:t xml:space="preserve">, </w:t>
            </w:r>
            <w:proofErr w:type="spellStart"/>
            <w:r>
              <w:rPr>
                <w:szCs w:val="24"/>
              </w:rPr>
              <w:t>indem</w:t>
            </w:r>
            <w:proofErr w:type="spellEnd"/>
            <w:r>
              <w:rPr>
                <w:szCs w:val="24"/>
              </w:rPr>
              <w:t xml:space="preserve"> </w:t>
            </w:r>
            <w:proofErr w:type="spellStart"/>
            <w:r>
              <w:rPr>
                <w:szCs w:val="24"/>
              </w:rPr>
              <w:t>Stoffe</w:t>
            </w:r>
            <w:proofErr w:type="spellEnd"/>
            <w:r>
              <w:rPr>
                <w:szCs w:val="24"/>
              </w:rPr>
              <w:t xml:space="preserve"> in </w:t>
            </w:r>
            <w:proofErr w:type="spellStart"/>
            <w:r>
              <w:rPr>
                <w:szCs w:val="24"/>
              </w:rPr>
              <w:t>Teilen</w:t>
            </w:r>
            <w:proofErr w:type="spellEnd"/>
            <w:r>
              <w:rPr>
                <w:szCs w:val="24"/>
              </w:rPr>
              <w:t xml:space="preserve"> und </w:t>
            </w:r>
            <w:proofErr w:type="spellStart"/>
            <w:r>
              <w:rPr>
                <w:szCs w:val="24"/>
              </w:rPr>
              <w:t>Materialien</w:t>
            </w:r>
            <w:proofErr w:type="spellEnd"/>
            <w:r>
              <w:rPr>
                <w:szCs w:val="24"/>
              </w:rPr>
              <w:t xml:space="preserve"> </w:t>
            </w:r>
            <w:proofErr w:type="spellStart"/>
            <w:r>
              <w:rPr>
                <w:szCs w:val="24"/>
              </w:rPr>
              <w:t>gemeldet</w:t>
            </w:r>
            <w:proofErr w:type="spellEnd"/>
            <w:r>
              <w:rPr>
                <w:szCs w:val="24"/>
              </w:rPr>
              <w:t xml:space="preserve"> </w:t>
            </w:r>
            <w:proofErr w:type="spellStart"/>
            <w:r>
              <w:rPr>
                <w:szCs w:val="24"/>
              </w:rPr>
              <w:t>werden</w:t>
            </w:r>
            <w:proofErr w:type="spellEnd"/>
            <w:r>
              <w:rPr>
                <w:szCs w:val="24"/>
              </w:rPr>
              <w:t xml:space="preserve">, </w:t>
            </w:r>
            <w:proofErr w:type="spellStart"/>
            <w:r>
              <w:rPr>
                <w:szCs w:val="24"/>
              </w:rPr>
              <w:t>denen</w:t>
            </w:r>
            <w:proofErr w:type="spellEnd"/>
            <w:r>
              <w:rPr>
                <w:szCs w:val="24"/>
              </w:rPr>
              <w:t xml:space="preserve"> der </w:t>
            </w:r>
            <w:proofErr w:type="spellStart"/>
            <w:r>
              <w:rPr>
                <w:szCs w:val="24"/>
              </w:rPr>
              <w:t>Benutzer</w:t>
            </w:r>
            <w:proofErr w:type="spellEnd"/>
            <w:r>
              <w:rPr>
                <w:szCs w:val="24"/>
              </w:rPr>
              <w:t xml:space="preserve"> in </w:t>
            </w:r>
            <w:proofErr w:type="spellStart"/>
            <w:r>
              <w:rPr>
                <w:szCs w:val="24"/>
              </w:rPr>
              <w:t>einem</w:t>
            </w:r>
            <w:proofErr w:type="spellEnd"/>
            <w:r>
              <w:rPr>
                <w:szCs w:val="24"/>
              </w:rPr>
              <w:t xml:space="preserve"> </w:t>
            </w:r>
            <w:proofErr w:type="spellStart"/>
            <w:r>
              <w:rPr>
                <w:szCs w:val="24"/>
              </w:rPr>
              <w:t>Maße</w:t>
            </w:r>
            <w:proofErr w:type="spellEnd"/>
            <w:r>
              <w:rPr>
                <w:szCs w:val="24"/>
              </w:rPr>
              <w:t xml:space="preserve"> </w:t>
            </w:r>
            <w:proofErr w:type="spellStart"/>
            <w:r>
              <w:rPr>
                <w:szCs w:val="24"/>
              </w:rPr>
              <w:t>ausgesetzt</w:t>
            </w:r>
            <w:proofErr w:type="spellEnd"/>
            <w:r>
              <w:rPr>
                <w:szCs w:val="24"/>
              </w:rPr>
              <w:t xml:space="preserve"> </w:t>
            </w:r>
            <w:proofErr w:type="spellStart"/>
            <w:r>
              <w:rPr>
                <w:szCs w:val="24"/>
              </w:rPr>
              <w:t>wird</w:t>
            </w:r>
            <w:proofErr w:type="spellEnd"/>
            <w:r>
              <w:rPr>
                <w:szCs w:val="24"/>
              </w:rPr>
              <w:t xml:space="preserve">, das die </w:t>
            </w:r>
            <w:proofErr w:type="spellStart"/>
            <w:r>
              <w:rPr>
                <w:szCs w:val="24"/>
              </w:rPr>
              <w:t>gesetzlich</w:t>
            </w:r>
            <w:proofErr w:type="spellEnd"/>
            <w:r>
              <w:rPr>
                <w:szCs w:val="24"/>
              </w:rPr>
              <w:t xml:space="preserve"> </w:t>
            </w:r>
            <w:proofErr w:type="spellStart"/>
            <w:r>
              <w:rPr>
                <w:szCs w:val="24"/>
              </w:rPr>
              <w:t>angegebenen</w:t>
            </w:r>
            <w:proofErr w:type="spellEnd"/>
            <w:r>
              <w:rPr>
                <w:szCs w:val="24"/>
              </w:rPr>
              <w:t xml:space="preserve"> </w:t>
            </w:r>
            <w:proofErr w:type="spellStart"/>
            <w:r>
              <w:rPr>
                <w:szCs w:val="24"/>
              </w:rPr>
              <w:t>Expositionsgrenzwert</w:t>
            </w:r>
            <w:proofErr w:type="spellEnd"/>
            <w:r>
              <w:rPr>
                <w:szCs w:val="24"/>
              </w:rPr>
              <w:t xml:space="preserve"> </w:t>
            </w:r>
            <w:proofErr w:type="spellStart"/>
            <w:r>
              <w:rPr>
                <w:szCs w:val="24"/>
              </w:rPr>
              <w:t>überschreitet</w:t>
            </w:r>
            <w:proofErr w:type="spellEnd"/>
            <w:r>
              <w:rPr>
                <w:szCs w:val="24"/>
              </w:rPr>
              <w:t>.</w:t>
            </w:r>
          </w:p>
        </w:tc>
        <w:tc>
          <w:tcPr>
            <w:tcW w:w="2425" w:type="dxa"/>
          </w:tcPr>
          <w:p w14:paraId="0C7F23E4" w14:textId="0F39A9D0" w:rsidR="00DC0DF7" w:rsidRPr="008C1CD6" w:rsidRDefault="00DC0DF7" w:rsidP="00DC0DF7">
            <w:pPr>
              <w:pStyle w:val="sBullet"/>
              <w:numPr>
                <w:ilvl w:val="0"/>
                <w:numId w:val="0"/>
              </w:numPr>
              <w:spacing w:before="120" w:after="120"/>
              <w:ind w:left="-1"/>
              <w:contextualSpacing w:val="0"/>
            </w:pPr>
            <w:r>
              <w:t xml:space="preserve">USA - </w:t>
            </w:r>
            <w:proofErr w:type="spellStart"/>
            <w:r>
              <w:t>Kalifornien</w:t>
            </w:r>
            <w:proofErr w:type="spellEnd"/>
            <w:r>
              <w:t xml:space="preserve"> Proposition 65</w:t>
            </w:r>
          </w:p>
        </w:tc>
      </w:tr>
      <w:tr w:rsidR="00DC0DF7" w:rsidRPr="0075797E" w14:paraId="01C372E5"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E1" w14:textId="2B80D9CD"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Konfliktmineralien</w:t>
            </w:r>
            <w:proofErr w:type="spellEnd"/>
          </w:p>
        </w:tc>
        <w:tc>
          <w:tcPr>
            <w:tcW w:w="1094" w:type="dxa"/>
          </w:tcPr>
          <w:p w14:paraId="01C372E2" w14:textId="1C71CDDB"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01C372E3" w14:textId="0AA37E74" w:rsidR="00DC0DF7" w:rsidRDefault="00DC0DF7" w:rsidP="00DC0DF7">
            <w:pPr>
              <w:pStyle w:val="sBullet"/>
              <w:numPr>
                <w:ilvl w:val="0"/>
                <w:numId w:val="0"/>
              </w:numPr>
              <w:spacing w:before="120" w:after="120"/>
              <w:contextualSpacing w:val="0"/>
            </w:pPr>
            <w:r>
              <w:t xml:space="preserve">Es </w:t>
            </w:r>
            <w:proofErr w:type="spellStart"/>
            <w:r>
              <w:t>wird</w:t>
            </w:r>
            <w:proofErr w:type="spellEnd"/>
            <w:r>
              <w:t xml:space="preserve"> von den </w:t>
            </w:r>
            <w:proofErr w:type="spellStart"/>
            <w:r>
              <w:t>Lieferanten</w:t>
            </w:r>
            <w:proofErr w:type="spellEnd"/>
            <w:r>
              <w:t xml:space="preserve"> </w:t>
            </w:r>
            <w:proofErr w:type="spellStart"/>
            <w:r>
              <w:t>erwartet</w:t>
            </w:r>
            <w:proofErr w:type="spellEnd"/>
            <w:r>
              <w:t xml:space="preserve">, </w:t>
            </w:r>
            <w:proofErr w:type="spellStart"/>
            <w:r>
              <w:t>dass</w:t>
            </w:r>
            <w:proofErr w:type="spellEnd"/>
            <w:r>
              <w:t xml:space="preserve"> </w:t>
            </w:r>
            <w:proofErr w:type="spellStart"/>
            <w:r>
              <w:t>diese</w:t>
            </w:r>
            <w:proofErr w:type="spellEnd"/>
            <w:r>
              <w:t xml:space="preserve"> </w:t>
            </w:r>
            <w:proofErr w:type="spellStart"/>
            <w:r>
              <w:t>Richtlinien</w:t>
            </w:r>
            <w:proofErr w:type="spellEnd"/>
            <w:r>
              <w:t xml:space="preserve">, </w:t>
            </w:r>
            <w:proofErr w:type="spellStart"/>
            <w:r>
              <w:t>Sorgfaltspflichtsverfahren</w:t>
            </w:r>
            <w:proofErr w:type="spellEnd"/>
            <w:r>
              <w:t xml:space="preserve"> und </w:t>
            </w:r>
            <w:proofErr w:type="spellStart"/>
            <w:r>
              <w:t>Verwaltungssysteme</w:t>
            </w:r>
            <w:proofErr w:type="spellEnd"/>
            <w:r>
              <w:t xml:space="preserve"> </w:t>
            </w:r>
            <w:proofErr w:type="spellStart"/>
            <w:r>
              <w:t>wie</w:t>
            </w:r>
            <w:proofErr w:type="spellEnd"/>
            <w:r>
              <w:t xml:space="preserve"> </w:t>
            </w:r>
            <w:proofErr w:type="spellStart"/>
            <w:r>
              <w:t>gesetzlich</w:t>
            </w:r>
            <w:proofErr w:type="spellEnd"/>
            <w:r>
              <w:t xml:space="preserve"> </w:t>
            </w:r>
            <w:proofErr w:type="spellStart"/>
            <w:r>
              <w:t>vorgeschrieben</w:t>
            </w:r>
            <w:proofErr w:type="spellEnd"/>
            <w:r>
              <w:t xml:space="preserve"> </w:t>
            </w:r>
            <w:proofErr w:type="spellStart"/>
            <w:r>
              <w:t>erstellen</w:t>
            </w:r>
            <w:proofErr w:type="spellEnd"/>
            <w:r>
              <w:t xml:space="preserve">, um </w:t>
            </w:r>
            <w:proofErr w:type="spellStart"/>
            <w:r>
              <w:t>angemessene</w:t>
            </w:r>
            <w:proofErr w:type="spellEnd"/>
            <w:r>
              <w:t xml:space="preserve"> </w:t>
            </w:r>
            <w:proofErr w:type="spellStart"/>
            <w:r>
              <w:t>Nachforschungen</w:t>
            </w:r>
            <w:proofErr w:type="spellEnd"/>
            <w:r>
              <w:t xml:space="preserve"> </w:t>
            </w:r>
            <w:proofErr w:type="spellStart"/>
            <w:r>
              <w:t>durch</w:t>
            </w:r>
            <w:proofErr w:type="spellEnd"/>
            <w:r>
              <w:t xml:space="preserve"> X-Rite </w:t>
            </w:r>
            <w:proofErr w:type="spellStart"/>
            <w:r>
              <w:t>zu</w:t>
            </w:r>
            <w:proofErr w:type="spellEnd"/>
            <w:r>
              <w:t xml:space="preserve"> </w:t>
            </w:r>
            <w:proofErr w:type="spellStart"/>
            <w:r>
              <w:t>möglichen</w:t>
            </w:r>
            <w:proofErr w:type="spellEnd"/>
            <w:r>
              <w:t xml:space="preserve"> </w:t>
            </w:r>
            <w:proofErr w:type="spellStart"/>
            <w:r>
              <w:t>Konfliktmineralien</w:t>
            </w:r>
            <w:proofErr w:type="spellEnd"/>
            <w:r>
              <w:t xml:space="preserve"> (</w:t>
            </w:r>
            <w:proofErr w:type="spellStart"/>
            <w:r>
              <w:t>zum</w:t>
            </w:r>
            <w:proofErr w:type="spellEnd"/>
            <w:r>
              <w:t xml:space="preserve"> </w:t>
            </w:r>
            <w:proofErr w:type="spellStart"/>
            <w:r>
              <w:t>Beispiel</w:t>
            </w:r>
            <w:proofErr w:type="spellEnd"/>
            <w:r>
              <w:t xml:space="preserve"> Wolfram, Zinn, </w:t>
            </w:r>
            <w:proofErr w:type="spellStart"/>
            <w:r>
              <w:t>Tantalit</w:t>
            </w:r>
            <w:proofErr w:type="spellEnd"/>
            <w:r>
              <w:t xml:space="preserve"> und Gold) </w:t>
            </w:r>
            <w:proofErr w:type="spellStart"/>
            <w:r>
              <w:t>zu</w:t>
            </w:r>
            <w:proofErr w:type="spellEnd"/>
            <w:r>
              <w:t xml:space="preserve"> </w:t>
            </w:r>
            <w:proofErr w:type="spellStart"/>
            <w:r>
              <w:t>beantworten</w:t>
            </w:r>
            <w:proofErr w:type="spellEnd"/>
            <w:r>
              <w:t xml:space="preserve"> und um </w:t>
            </w:r>
            <w:proofErr w:type="spellStart"/>
            <w:r>
              <w:t>bezüglich</w:t>
            </w:r>
            <w:proofErr w:type="spellEnd"/>
            <w:r>
              <w:t xml:space="preserve"> der von X-Rite </w:t>
            </w:r>
            <w:proofErr w:type="spellStart"/>
            <w:r>
              <w:t>angefragten</w:t>
            </w:r>
            <w:proofErr w:type="spellEnd"/>
            <w:r>
              <w:t xml:space="preserve"> </w:t>
            </w:r>
            <w:proofErr w:type="spellStart"/>
            <w:r>
              <w:t>Teilen</w:t>
            </w:r>
            <w:proofErr w:type="spellEnd"/>
            <w:r>
              <w:t xml:space="preserve"> "</w:t>
            </w:r>
            <w:proofErr w:type="spellStart"/>
            <w:r>
              <w:t>konfliktfrei</w:t>
            </w:r>
            <w:proofErr w:type="spellEnd"/>
            <w:r>
              <w:t xml:space="preserve">" </w:t>
            </w:r>
            <w:proofErr w:type="spellStart"/>
            <w:r>
              <w:t>zu</w:t>
            </w:r>
            <w:proofErr w:type="spellEnd"/>
            <w:r>
              <w:t xml:space="preserve"> sein.</w:t>
            </w:r>
          </w:p>
        </w:tc>
        <w:tc>
          <w:tcPr>
            <w:tcW w:w="2425" w:type="dxa"/>
          </w:tcPr>
          <w:p w14:paraId="7A6F06C5" w14:textId="77777777" w:rsidR="00DC0DF7" w:rsidRPr="00C175FC" w:rsidRDefault="00DC0DF7" w:rsidP="00DC0DF7">
            <w:pPr>
              <w:pStyle w:val="sBullet"/>
              <w:numPr>
                <w:ilvl w:val="0"/>
                <w:numId w:val="0"/>
              </w:numPr>
              <w:spacing w:before="120" w:after="120"/>
              <w:contextualSpacing w:val="0"/>
            </w:pPr>
            <w:r>
              <w:t xml:space="preserve">USA - </w:t>
            </w:r>
            <w:proofErr w:type="spellStart"/>
            <w:r>
              <w:t>Abschnitt</w:t>
            </w:r>
            <w:proofErr w:type="spellEnd"/>
            <w:r>
              <w:t xml:space="preserve"> 1502 der Dodd-Frank Wall Street Reform and Consumer Protection Act</w:t>
            </w:r>
          </w:p>
          <w:p w14:paraId="01C372E4" w14:textId="1063A0D1" w:rsidR="00DC0DF7" w:rsidRPr="00E5181A" w:rsidRDefault="00DC0DF7" w:rsidP="00DC0DF7">
            <w:pPr>
              <w:pStyle w:val="sBullet"/>
              <w:numPr>
                <w:ilvl w:val="0"/>
                <w:numId w:val="0"/>
              </w:numPr>
              <w:spacing w:before="120" w:after="120"/>
              <w:contextualSpacing w:val="0"/>
            </w:pPr>
            <w:r>
              <w:t xml:space="preserve">EU – </w:t>
            </w:r>
            <w:proofErr w:type="spellStart"/>
            <w:r>
              <w:t>Verordnung</w:t>
            </w:r>
            <w:proofErr w:type="spellEnd"/>
            <w:r>
              <w:t xml:space="preserve"> 2017/821/EU</w:t>
            </w:r>
          </w:p>
        </w:tc>
      </w:tr>
      <w:tr w:rsidR="00DC0DF7" w:rsidRPr="0075797E" w14:paraId="01C372EA"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E6" w14:textId="4D3F3CF4"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Dimethylfumarat</w:t>
            </w:r>
            <w:proofErr w:type="spellEnd"/>
            <w:r>
              <w:rPr>
                <w:color w:val="000000"/>
                <w:sz w:val="16"/>
                <w:szCs w:val="16"/>
              </w:rPr>
              <w:t xml:space="preserve"> (DMF)</w:t>
            </w:r>
          </w:p>
        </w:tc>
        <w:tc>
          <w:tcPr>
            <w:tcW w:w="1094" w:type="dxa"/>
          </w:tcPr>
          <w:p w14:paraId="01C372E7" w14:textId="6BD21D94" w:rsidR="00DC0DF7" w:rsidRPr="00E5181A" w:rsidRDefault="00DC0DF7" w:rsidP="00DC0DF7">
            <w:pPr>
              <w:keepNext/>
              <w:keepLines/>
              <w:spacing w:before="120" w:after="120"/>
              <w:jc w:val="center"/>
              <w:rPr>
                <w:color w:val="000000" w:themeColor="text1"/>
                <w:sz w:val="16"/>
                <w:szCs w:val="16"/>
              </w:rPr>
            </w:pPr>
            <w:r>
              <w:rPr>
                <w:color w:val="000000"/>
                <w:sz w:val="16"/>
                <w:szCs w:val="16"/>
              </w:rPr>
              <w:t>624-49-7</w:t>
            </w:r>
          </w:p>
        </w:tc>
        <w:tc>
          <w:tcPr>
            <w:tcW w:w="3959" w:type="dxa"/>
          </w:tcPr>
          <w:p w14:paraId="01C372E8" w14:textId="1643454C" w:rsidR="00DC0DF7" w:rsidRPr="00E5181A" w:rsidRDefault="00DC0DF7" w:rsidP="00DC0DF7">
            <w:pPr>
              <w:pStyle w:val="sBullet"/>
              <w:numPr>
                <w:ilvl w:val="0"/>
                <w:numId w:val="0"/>
              </w:numPr>
              <w:spacing w:before="120" w:after="120"/>
              <w:contextualSpacing w:val="0"/>
            </w:pPr>
            <w:proofErr w:type="spellStart"/>
            <w:r>
              <w:t>Darf</w:t>
            </w:r>
            <w:proofErr w:type="spellEnd"/>
            <w:r>
              <w:t xml:space="preserve"> in </w:t>
            </w:r>
            <w:proofErr w:type="spellStart"/>
            <w:r>
              <w:t>Produkten</w:t>
            </w:r>
            <w:proofErr w:type="spellEnd"/>
            <w:r>
              <w:t xml:space="preserve"> </w:t>
            </w:r>
            <w:proofErr w:type="spellStart"/>
            <w:r>
              <w:t>oder</w:t>
            </w:r>
            <w:proofErr w:type="spellEnd"/>
            <w:r>
              <w:t xml:space="preserve"> </w:t>
            </w:r>
            <w:proofErr w:type="spellStart"/>
            <w:r>
              <w:t>deren</w:t>
            </w:r>
            <w:proofErr w:type="spellEnd"/>
            <w:r>
              <w:t xml:space="preserve"> </w:t>
            </w:r>
            <w:proofErr w:type="spellStart"/>
            <w:r>
              <w:t>Teilen</w:t>
            </w:r>
            <w:proofErr w:type="spellEnd"/>
            <w:r>
              <w:t xml:space="preserve"> </w:t>
            </w:r>
            <w:proofErr w:type="spellStart"/>
            <w:r>
              <w:t>nicht</w:t>
            </w:r>
            <w:proofErr w:type="spellEnd"/>
            <w:r>
              <w:t xml:space="preserve"> in </w:t>
            </w:r>
            <w:proofErr w:type="spellStart"/>
            <w:r>
              <w:t>Konzentrationen</w:t>
            </w:r>
            <w:proofErr w:type="spellEnd"/>
            <w:r>
              <w:t xml:space="preserve"> von </w:t>
            </w:r>
            <w:proofErr w:type="spellStart"/>
            <w:r>
              <w:t>höher</w:t>
            </w:r>
            <w:proofErr w:type="spellEnd"/>
            <w:r>
              <w:t xml:space="preserve"> </w:t>
            </w:r>
            <w:proofErr w:type="spellStart"/>
            <w:r>
              <w:t>als</w:t>
            </w:r>
            <w:proofErr w:type="spellEnd"/>
            <w:r>
              <w:t xml:space="preserve"> 0,1 mg/kg (0,1 ppm) </w:t>
            </w:r>
            <w:proofErr w:type="spellStart"/>
            <w:r>
              <w:t>verwendet</w:t>
            </w:r>
            <w:proofErr w:type="spellEnd"/>
            <w:r>
              <w:t xml:space="preserve"> </w:t>
            </w:r>
            <w:proofErr w:type="spellStart"/>
            <w:r>
              <w:t>werden</w:t>
            </w:r>
            <w:proofErr w:type="spellEnd"/>
            <w:r>
              <w:t>.</w:t>
            </w:r>
          </w:p>
        </w:tc>
        <w:tc>
          <w:tcPr>
            <w:tcW w:w="2425" w:type="dxa"/>
          </w:tcPr>
          <w:p w14:paraId="01C372E9" w14:textId="27839414" w:rsidR="00DC0DF7" w:rsidRPr="00E5181A" w:rsidRDefault="00DC0DF7" w:rsidP="00DC0DF7">
            <w:pPr>
              <w:pStyle w:val="sBullet"/>
              <w:numPr>
                <w:ilvl w:val="0"/>
                <w:numId w:val="0"/>
              </w:numPr>
              <w:spacing w:before="120" w:after="120"/>
              <w:contextualSpacing w:val="0"/>
            </w:pPr>
            <w:r>
              <w:t xml:space="preserve">EG – </w:t>
            </w:r>
            <w:proofErr w:type="spellStart"/>
            <w:r>
              <w:t>Richtlinie</w:t>
            </w:r>
            <w:proofErr w:type="spellEnd"/>
            <w:r>
              <w:t xml:space="preserve"> 98/8/EG und </w:t>
            </w:r>
            <w:proofErr w:type="spellStart"/>
            <w:r>
              <w:t>Ergänzungen</w:t>
            </w:r>
            <w:proofErr w:type="spellEnd"/>
            <w:r>
              <w:t xml:space="preserve">, </w:t>
            </w:r>
            <w:proofErr w:type="spellStart"/>
            <w:r>
              <w:t>besonders</w:t>
            </w:r>
            <w:proofErr w:type="spellEnd"/>
            <w:r>
              <w:t xml:space="preserve"> 412/2012/EG</w:t>
            </w:r>
          </w:p>
        </w:tc>
      </w:tr>
      <w:tr w:rsidR="00DC0DF7" w:rsidRPr="00BA64FA" w14:paraId="01C372F2"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5D09CF9B" w14:textId="77777777" w:rsidR="00DC0DF7" w:rsidRPr="004E46E3" w:rsidRDefault="00DC0DF7" w:rsidP="00DC0DF7">
            <w:pPr>
              <w:keepNext/>
              <w:keepLines/>
              <w:spacing w:before="120" w:after="120"/>
              <w:rPr>
                <w:color w:val="000000"/>
                <w:sz w:val="16"/>
                <w:szCs w:val="16"/>
                <w:lang w:val="it-IT"/>
              </w:rPr>
            </w:pPr>
            <w:r w:rsidRPr="004E46E3">
              <w:rPr>
                <w:color w:val="000000"/>
                <w:sz w:val="16"/>
                <w:szCs w:val="16"/>
                <w:lang w:val="it-IT"/>
              </w:rPr>
              <w:t>Di-</w:t>
            </w:r>
            <w:r>
              <w:rPr>
                <w:color w:val="000000"/>
                <w:sz w:val="16"/>
                <w:szCs w:val="16"/>
              </w:rPr>
              <w:t>μ</w:t>
            </w:r>
            <w:r w:rsidRPr="004E46E3">
              <w:rPr>
                <w:color w:val="000000"/>
                <w:sz w:val="16"/>
                <w:szCs w:val="16"/>
                <w:lang w:val="it-IT"/>
              </w:rPr>
              <w:t>-oxo-di-n-butyl</w:t>
            </w:r>
          </w:p>
          <w:p w14:paraId="5C6E4CD7" w14:textId="77777777" w:rsidR="00DC0DF7" w:rsidRPr="004E46E3" w:rsidRDefault="00DC0DF7" w:rsidP="00DC0DF7">
            <w:pPr>
              <w:keepNext/>
              <w:keepLines/>
              <w:spacing w:before="120" w:after="120"/>
              <w:rPr>
                <w:color w:val="000000"/>
                <w:sz w:val="16"/>
                <w:szCs w:val="16"/>
                <w:lang w:val="it-IT"/>
              </w:rPr>
            </w:pPr>
            <w:r w:rsidRPr="004E46E3">
              <w:rPr>
                <w:color w:val="000000"/>
                <w:sz w:val="16"/>
                <w:szCs w:val="16"/>
                <w:lang w:val="it-IT"/>
              </w:rPr>
              <w:t>stanniohydroxyboran,</w:t>
            </w:r>
          </w:p>
          <w:p w14:paraId="0E86C4A7" w14:textId="77777777" w:rsidR="00DC0DF7" w:rsidRPr="004E46E3" w:rsidRDefault="00DC0DF7" w:rsidP="00DC0DF7">
            <w:pPr>
              <w:keepNext/>
              <w:keepLines/>
              <w:spacing w:before="120" w:after="120"/>
              <w:rPr>
                <w:color w:val="000000"/>
                <w:sz w:val="16"/>
                <w:szCs w:val="16"/>
                <w:lang w:val="it-IT"/>
              </w:rPr>
            </w:pPr>
            <w:r w:rsidRPr="004E46E3">
              <w:rPr>
                <w:color w:val="000000"/>
                <w:sz w:val="16"/>
                <w:szCs w:val="16"/>
                <w:lang w:val="it-IT"/>
              </w:rPr>
              <w:t xml:space="preserve">[Dibutyltin hydrogen borat </w:t>
            </w:r>
          </w:p>
          <w:p w14:paraId="01C372EE" w14:textId="6332E766" w:rsidR="00DC0DF7" w:rsidRPr="00BA64FA" w:rsidRDefault="00DC0DF7" w:rsidP="00DC0DF7">
            <w:pPr>
              <w:keepNext/>
              <w:keepLines/>
              <w:spacing w:before="120" w:after="120"/>
              <w:rPr>
                <w:color w:val="000000" w:themeColor="text1"/>
                <w:sz w:val="16"/>
                <w:szCs w:val="16"/>
              </w:rPr>
            </w:pPr>
            <w:r w:rsidRPr="004E46E3">
              <w:rPr>
                <w:color w:val="000000"/>
                <w:sz w:val="16"/>
                <w:szCs w:val="16"/>
                <w:lang w:val="it-IT"/>
              </w:rPr>
              <w:t>C8H19BO3Sn (DBB)]</w:t>
            </w:r>
          </w:p>
        </w:tc>
        <w:tc>
          <w:tcPr>
            <w:tcW w:w="1094" w:type="dxa"/>
          </w:tcPr>
          <w:p w14:paraId="01C372EF" w14:textId="747C9EC3" w:rsidR="00DC0DF7" w:rsidRPr="00BA64FA" w:rsidRDefault="00DC0DF7" w:rsidP="00DC0DF7">
            <w:pPr>
              <w:keepNext/>
              <w:keepLines/>
              <w:spacing w:before="120" w:after="120"/>
              <w:jc w:val="center"/>
              <w:rPr>
                <w:color w:val="000000" w:themeColor="text1"/>
                <w:sz w:val="16"/>
                <w:szCs w:val="16"/>
              </w:rPr>
            </w:pPr>
            <w:r>
              <w:rPr>
                <w:color w:val="000000"/>
                <w:sz w:val="16"/>
                <w:szCs w:val="16"/>
              </w:rPr>
              <w:t>75113-37-0</w:t>
            </w:r>
          </w:p>
        </w:tc>
        <w:tc>
          <w:tcPr>
            <w:tcW w:w="3959" w:type="dxa"/>
          </w:tcPr>
          <w:p w14:paraId="01C372F0" w14:textId="154DE6D9" w:rsidR="00DC0DF7" w:rsidRPr="00BA64FA" w:rsidRDefault="00DC0DF7" w:rsidP="00DC0DF7">
            <w:pPr>
              <w:keepNext/>
              <w:keepLines/>
              <w:spacing w:before="120" w:after="120"/>
              <w:rPr>
                <w:color w:val="000000" w:themeColor="text1"/>
                <w:sz w:val="16"/>
                <w:szCs w:val="16"/>
              </w:rPr>
            </w:pPr>
            <w:r w:rsidRPr="004E46E3">
              <w:rPr>
                <w:color w:val="000000"/>
                <w:sz w:val="16"/>
                <w:szCs w:val="16"/>
                <w:lang w:val="de-DE"/>
              </w:rPr>
              <w:t>Darf nicht in Zubereitungen in Konzentrationen von mehr als 0,1 % (1000 ppm).</w:t>
            </w:r>
          </w:p>
        </w:tc>
        <w:tc>
          <w:tcPr>
            <w:tcW w:w="2425" w:type="dxa"/>
          </w:tcPr>
          <w:p w14:paraId="01C372F1" w14:textId="09C77F9D" w:rsidR="00DC0DF7" w:rsidRPr="00BA64FA" w:rsidRDefault="00DC0DF7" w:rsidP="00DC0DF7">
            <w:pPr>
              <w:keepNext/>
              <w:keepLines/>
              <w:spacing w:before="120" w:after="120"/>
              <w:rPr>
                <w:color w:val="000000" w:themeColor="text1"/>
                <w:sz w:val="16"/>
                <w:szCs w:val="16"/>
              </w:rPr>
            </w:pPr>
            <w:r w:rsidRPr="004E46E3">
              <w:rPr>
                <w:color w:val="000000"/>
                <w:sz w:val="16"/>
                <w:szCs w:val="16"/>
                <w:lang w:val="de-DE"/>
              </w:rPr>
              <w:t>EG – Verordnung 1907/2006/EG Anhang 11 und Ergänzungen</w:t>
            </w:r>
          </w:p>
        </w:tc>
      </w:tr>
      <w:tr w:rsidR="00DC0DF7" w:rsidRPr="003427E4" w14:paraId="01C372F9"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2F3" w14:textId="5D6ED4A4" w:rsidR="00DC0DF7" w:rsidRPr="00E5181A" w:rsidRDefault="00DC0DF7" w:rsidP="00DC0DF7">
            <w:pPr>
              <w:keepNext/>
              <w:keepLines/>
              <w:spacing w:before="120" w:after="120"/>
              <w:rPr>
                <w:color w:val="000000" w:themeColor="text1"/>
                <w:sz w:val="16"/>
                <w:szCs w:val="16"/>
              </w:rPr>
            </w:pPr>
            <w:r w:rsidRPr="004E46E3">
              <w:rPr>
                <w:color w:val="000000"/>
                <w:sz w:val="16"/>
                <w:szCs w:val="16"/>
                <w:lang w:val="de-DE"/>
              </w:rPr>
              <w:t>Fluorierte Treibhausgase (PFCs, SF6, HFCs)</w:t>
            </w:r>
          </w:p>
        </w:tc>
        <w:tc>
          <w:tcPr>
            <w:tcW w:w="1094" w:type="dxa"/>
          </w:tcPr>
          <w:p w14:paraId="01C372F4" w14:textId="60D922A0"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01C372F5" w14:textId="2AAFF266" w:rsidR="00DC0DF7" w:rsidRPr="00E5181A" w:rsidRDefault="00DC0DF7" w:rsidP="00DC0DF7">
            <w:pPr>
              <w:pStyle w:val="sBullet"/>
              <w:numPr>
                <w:ilvl w:val="0"/>
                <w:numId w:val="0"/>
              </w:numPr>
              <w:spacing w:before="120" w:after="120"/>
              <w:contextualSpacing w:val="0"/>
            </w:pPr>
            <w:proofErr w:type="spellStart"/>
            <w:r>
              <w:t>Angegebene</w:t>
            </w:r>
            <w:proofErr w:type="spellEnd"/>
            <w:r>
              <w:t xml:space="preserve"> </w:t>
            </w:r>
            <w:proofErr w:type="spellStart"/>
            <w:r>
              <w:t>fluoriert</w:t>
            </w:r>
            <w:proofErr w:type="spellEnd"/>
            <w:r>
              <w:t xml:space="preserve"> </w:t>
            </w:r>
            <w:proofErr w:type="spellStart"/>
            <w:r>
              <w:t>Gase</w:t>
            </w:r>
            <w:proofErr w:type="spellEnd"/>
            <w:r>
              <w:t xml:space="preserve"> </w:t>
            </w:r>
            <w:proofErr w:type="spellStart"/>
            <w:r>
              <w:t>dürfen</w:t>
            </w:r>
            <w:proofErr w:type="spellEnd"/>
            <w:r>
              <w:t xml:space="preserve"> </w:t>
            </w:r>
            <w:proofErr w:type="spellStart"/>
            <w:r>
              <w:t>nicht</w:t>
            </w:r>
            <w:proofErr w:type="spellEnd"/>
            <w:r>
              <w:t xml:space="preserve"> </w:t>
            </w:r>
            <w:proofErr w:type="spellStart"/>
            <w:r>
              <w:t>verwendet</w:t>
            </w:r>
            <w:proofErr w:type="spellEnd"/>
            <w:r>
              <w:t xml:space="preserve"> </w:t>
            </w:r>
            <w:proofErr w:type="spellStart"/>
            <w:r>
              <w:t>werden</w:t>
            </w:r>
            <w:proofErr w:type="spellEnd"/>
            <w:r>
              <w:t>.</w:t>
            </w:r>
          </w:p>
        </w:tc>
        <w:tc>
          <w:tcPr>
            <w:tcW w:w="2425" w:type="dxa"/>
          </w:tcPr>
          <w:p w14:paraId="14577783"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842/2006/EG und </w:t>
            </w:r>
            <w:proofErr w:type="spellStart"/>
            <w:r>
              <w:t>Ergänzungen</w:t>
            </w:r>
            <w:proofErr w:type="spellEnd"/>
          </w:p>
          <w:p w14:paraId="7A909190" w14:textId="77777777" w:rsidR="00DC0DF7" w:rsidRPr="00C175FC" w:rsidRDefault="00DC0DF7" w:rsidP="00DC0DF7">
            <w:pPr>
              <w:pStyle w:val="sBullet"/>
              <w:numPr>
                <w:ilvl w:val="0"/>
                <w:numId w:val="0"/>
              </w:numPr>
              <w:spacing w:before="120" w:after="120"/>
              <w:contextualSpacing w:val="0"/>
            </w:pPr>
            <w:proofErr w:type="spellStart"/>
            <w:r>
              <w:t>Dänemark</w:t>
            </w:r>
            <w:proofErr w:type="spellEnd"/>
            <w:r>
              <w:t xml:space="preserve"> – </w:t>
            </w:r>
            <w:proofErr w:type="spellStart"/>
            <w:r>
              <w:t>Rechtsverordnung</w:t>
            </w:r>
            <w:proofErr w:type="spellEnd"/>
            <w:r>
              <w:t xml:space="preserve"> 552</w:t>
            </w:r>
          </w:p>
          <w:p w14:paraId="01C372F8" w14:textId="172D2B44" w:rsidR="00DC0DF7" w:rsidRPr="00E5181A" w:rsidRDefault="00DC0DF7" w:rsidP="00DC0DF7">
            <w:pPr>
              <w:pStyle w:val="sBullet"/>
              <w:numPr>
                <w:ilvl w:val="0"/>
                <w:numId w:val="0"/>
              </w:numPr>
              <w:spacing w:before="120" w:after="120"/>
              <w:contextualSpacing w:val="0"/>
            </w:pPr>
            <w:r>
              <w:t xml:space="preserve">Schweiz – </w:t>
            </w:r>
            <w:proofErr w:type="spellStart"/>
            <w:r>
              <w:t>Chemikalien-Risikoreduktions-Verordnung</w:t>
            </w:r>
            <w:proofErr w:type="spellEnd"/>
            <w:r>
              <w:t xml:space="preserve"> (</w:t>
            </w:r>
            <w:proofErr w:type="spellStart"/>
            <w:r>
              <w:t>ChemRRV</w:t>
            </w:r>
            <w:proofErr w:type="spellEnd"/>
            <w:r>
              <w:t>)</w:t>
            </w:r>
          </w:p>
        </w:tc>
      </w:tr>
      <w:tr w:rsidR="00DC0DF7" w:rsidRPr="003427E4" w14:paraId="01C37302" w14:textId="77777777" w:rsidTr="00A37697">
        <w:trPr>
          <w:gridBefore w:val="1"/>
          <w:wBefore w:w="9" w:type="dxa"/>
          <w:cantSplit/>
        </w:trPr>
        <w:tc>
          <w:tcPr>
            <w:tcW w:w="2055" w:type="dxa"/>
          </w:tcPr>
          <w:p w14:paraId="01C372FA" w14:textId="40AFDA23"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lastRenderedPageBreak/>
              <w:t>Formaldehyd</w:t>
            </w:r>
            <w:proofErr w:type="spellEnd"/>
          </w:p>
        </w:tc>
        <w:tc>
          <w:tcPr>
            <w:tcW w:w="1094" w:type="dxa"/>
          </w:tcPr>
          <w:p w14:paraId="01C372FB" w14:textId="616BFC3C" w:rsidR="00DC0DF7" w:rsidRPr="00E5181A" w:rsidRDefault="00DC0DF7" w:rsidP="00DC0DF7">
            <w:pPr>
              <w:keepNext/>
              <w:keepLines/>
              <w:spacing w:before="120" w:after="120"/>
              <w:jc w:val="center"/>
              <w:rPr>
                <w:color w:val="000000" w:themeColor="text1"/>
                <w:sz w:val="16"/>
                <w:szCs w:val="16"/>
              </w:rPr>
            </w:pPr>
            <w:r>
              <w:rPr>
                <w:color w:val="000000"/>
                <w:sz w:val="16"/>
                <w:szCs w:val="16"/>
              </w:rPr>
              <w:t>50-00-0</w:t>
            </w:r>
          </w:p>
        </w:tc>
        <w:tc>
          <w:tcPr>
            <w:tcW w:w="3959" w:type="dxa"/>
          </w:tcPr>
          <w:p w14:paraId="6D03BCAA" w14:textId="77777777" w:rsidR="00DC0DF7" w:rsidRPr="00C175FC" w:rsidRDefault="00DC0DF7" w:rsidP="00DC0DF7">
            <w:pPr>
              <w:pStyle w:val="sBullet"/>
              <w:numPr>
                <w:ilvl w:val="0"/>
                <w:numId w:val="0"/>
              </w:numPr>
              <w:spacing w:before="120" w:after="120"/>
              <w:contextualSpacing w:val="0"/>
            </w:pPr>
            <w:proofErr w:type="spellStart"/>
            <w:r>
              <w:t>Darf</w:t>
            </w:r>
            <w:proofErr w:type="spellEnd"/>
            <w:r>
              <w:t xml:space="preserve"> </w:t>
            </w:r>
            <w:proofErr w:type="spellStart"/>
            <w:r>
              <w:t>nicht</w:t>
            </w:r>
            <w:proofErr w:type="spellEnd"/>
            <w:r>
              <w:t xml:space="preserve"> in </w:t>
            </w:r>
            <w:proofErr w:type="spellStart"/>
            <w:r>
              <w:t>Holzprodukten</w:t>
            </w:r>
            <w:proofErr w:type="spellEnd"/>
            <w:r>
              <w:t xml:space="preserve"> </w:t>
            </w:r>
            <w:proofErr w:type="spellStart"/>
            <w:r>
              <w:t>verwendet</w:t>
            </w:r>
            <w:proofErr w:type="spellEnd"/>
            <w:r>
              <w:t xml:space="preserve"> </w:t>
            </w:r>
            <w:proofErr w:type="spellStart"/>
            <w:r>
              <w:t>werden</w:t>
            </w:r>
            <w:proofErr w:type="spellEnd"/>
            <w:r>
              <w:t xml:space="preserve">, </w:t>
            </w:r>
            <w:proofErr w:type="spellStart"/>
            <w:r>
              <w:t>minimale</w:t>
            </w:r>
            <w:proofErr w:type="spellEnd"/>
            <w:r>
              <w:t xml:space="preserve"> </w:t>
            </w:r>
            <w:proofErr w:type="spellStart"/>
            <w:r>
              <w:t>Verwendung</w:t>
            </w:r>
            <w:proofErr w:type="spellEnd"/>
            <w:r>
              <w:t xml:space="preserve"> in </w:t>
            </w:r>
            <w:proofErr w:type="spellStart"/>
            <w:r>
              <w:t>Textilien</w:t>
            </w:r>
            <w:proofErr w:type="spellEnd"/>
            <w:r>
              <w:t xml:space="preserve"> - </w:t>
            </w:r>
            <w:proofErr w:type="spellStart"/>
            <w:r>
              <w:t>weniger</w:t>
            </w:r>
            <w:proofErr w:type="spellEnd"/>
            <w:r>
              <w:t xml:space="preserve"> </w:t>
            </w:r>
            <w:proofErr w:type="spellStart"/>
            <w:r>
              <w:t>als</w:t>
            </w:r>
            <w:proofErr w:type="spellEnd"/>
            <w:r>
              <w:t xml:space="preserve"> 0,075 % (75 ppm). </w:t>
            </w:r>
          </w:p>
          <w:p w14:paraId="01C372FD" w14:textId="4369C789" w:rsidR="00DC0DF7" w:rsidRPr="00E5181A" w:rsidRDefault="00DC0DF7" w:rsidP="00DC0DF7">
            <w:pPr>
              <w:pStyle w:val="sBullet"/>
              <w:numPr>
                <w:ilvl w:val="0"/>
                <w:numId w:val="0"/>
              </w:numPr>
              <w:spacing w:before="120" w:after="120"/>
              <w:contextualSpacing w:val="0"/>
            </w:pPr>
            <w:proofErr w:type="spellStart"/>
            <w:r>
              <w:t>Verwendung</w:t>
            </w:r>
            <w:proofErr w:type="spellEnd"/>
            <w:r>
              <w:t xml:space="preserve"> </w:t>
            </w:r>
            <w:proofErr w:type="spellStart"/>
            <w:r>
              <w:t>untersagt</w:t>
            </w:r>
            <w:proofErr w:type="spellEnd"/>
            <w:r>
              <w:t xml:space="preserve">, </w:t>
            </w:r>
            <w:proofErr w:type="spellStart"/>
            <w:r>
              <w:t>wenn</w:t>
            </w:r>
            <w:proofErr w:type="spellEnd"/>
            <w:r>
              <w:t xml:space="preserve"> </w:t>
            </w:r>
            <w:proofErr w:type="spellStart"/>
            <w:r>
              <w:t>eine</w:t>
            </w:r>
            <w:proofErr w:type="spellEnd"/>
            <w:r>
              <w:t xml:space="preserve"> </w:t>
            </w:r>
            <w:proofErr w:type="spellStart"/>
            <w:r>
              <w:t>Konzentration</w:t>
            </w:r>
            <w:proofErr w:type="spellEnd"/>
            <w:r>
              <w:t xml:space="preserve"> von </w:t>
            </w:r>
            <w:proofErr w:type="spellStart"/>
            <w:r>
              <w:t>mehr</w:t>
            </w:r>
            <w:proofErr w:type="spellEnd"/>
            <w:r>
              <w:t xml:space="preserve"> </w:t>
            </w:r>
            <w:proofErr w:type="spellStart"/>
            <w:r>
              <w:t>als</w:t>
            </w:r>
            <w:proofErr w:type="spellEnd"/>
            <w:r>
              <w:t xml:space="preserve"> 0,00001 % (0,1 ppm) </w:t>
            </w:r>
            <w:proofErr w:type="spellStart"/>
            <w:r>
              <w:t>bei</w:t>
            </w:r>
            <w:proofErr w:type="spellEnd"/>
            <w:r>
              <w:t xml:space="preserve"> </w:t>
            </w:r>
            <w:proofErr w:type="spellStart"/>
            <w:r>
              <w:t>angemessener</w:t>
            </w:r>
            <w:proofErr w:type="spellEnd"/>
            <w:r>
              <w:t xml:space="preserve"> </w:t>
            </w:r>
            <w:proofErr w:type="spellStart"/>
            <w:r>
              <w:t>Sorgfalt</w:t>
            </w:r>
            <w:proofErr w:type="spellEnd"/>
            <w:r>
              <w:t xml:space="preserve"> in die </w:t>
            </w:r>
            <w:proofErr w:type="spellStart"/>
            <w:r>
              <w:t>Luft</w:t>
            </w:r>
            <w:proofErr w:type="spellEnd"/>
            <w:r>
              <w:t xml:space="preserve"> </w:t>
            </w:r>
            <w:proofErr w:type="spellStart"/>
            <w:r>
              <w:t>gelangen</w:t>
            </w:r>
            <w:proofErr w:type="spellEnd"/>
            <w:r>
              <w:t xml:space="preserve"> </w:t>
            </w:r>
            <w:proofErr w:type="spellStart"/>
            <w:r>
              <w:t>kann</w:t>
            </w:r>
            <w:proofErr w:type="spellEnd"/>
            <w:r>
              <w:t>.</w:t>
            </w:r>
          </w:p>
        </w:tc>
        <w:tc>
          <w:tcPr>
            <w:tcW w:w="2432" w:type="dxa"/>
            <w:gridSpan w:val="2"/>
          </w:tcPr>
          <w:p w14:paraId="675848B9" w14:textId="77777777" w:rsidR="00DC0DF7" w:rsidRPr="00C175FC" w:rsidRDefault="00DC0DF7" w:rsidP="00DC0DF7">
            <w:pPr>
              <w:pStyle w:val="sBullet"/>
              <w:numPr>
                <w:ilvl w:val="0"/>
                <w:numId w:val="0"/>
              </w:numPr>
              <w:spacing w:before="120" w:after="120"/>
              <w:contextualSpacing w:val="0"/>
            </w:pPr>
            <w:r>
              <w:t xml:space="preserve">Deutschland – </w:t>
            </w:r>
            <w:proofErr w:type="spellStart"/>
            <w:r>
              <w:t>Chemikalien-Verbotsverordnung</w:t>
            </w:r>
            <w:proofErr w:type="spellEnd"/>
            <w:r>
              <w:t xml:space="preserve"> (</w:t>
            </w:r>
            <w:proofErr w:type="spellStart"/>
            <w:r>
              <w:t>ChemVerbotsV</w:t>
            </w:r>
            <w:proofErr w:type="spellEnd"/>
            <w:r>
              <w:t>)</w:t>
            </w:r>
          </w:p>
          <w:p w14:paraId="40EADDAA" w14:textId="77777777" w:rsidR="00DC0DF7" w:rsidRPr="00C175FC" w:rsidRDefault="00DC0DF7" w:rsidP="00DC0DF7">
            <w:pPr>
              <w:pStyle w:val="sBullet"/>
              <w:numPr>
                <w:ilvl w:val="0"/>
                <w:numId w:val="0"/>
              </w:numPr>
              <w:spacing w:before="120" w:after="120"/>
              <w:contextualSpacing w:val="0"/>
            </w:pPr>
            <w:proofErr w:type="spellStart"/>
            <w:r>
              <w:t>Dänemark</w:t>
            </w:r>
            <w:proofErr w:type="spellEnd"/>
            <w:r>
              <w:t xml:space="preserve"> – </w:t>
            </w:r>
            <w:proofErr w:type="spellStart"/>
            <w:r>
              <w:t>Rechtsverordnung</w:t>
            </w:r>
            <w:proofErr w:type="spellEnd"/>
            <w:r>
              <w:t xml:space="preserve"> 289 und </w:t>
            </w:r>
            <w:proofErr w:type="spellStart"/>
            <w:r>
              <w:t>Ergänzungen</w:t>
            </w:r>
            <w:proofErr w:type="spellEnd"/>
          </w:p>
          <w:p w14:paraId="0D469149" w14:textId="77777777" w:rsidR="00DC0DF7" w:rsidRPr="00C175FC" w:rsidRDefault="00DC0DF7" w:rsidP="00DC0DF7">
            <w:pPr>
              <w:pStyle w:val="sBullet"/>
              <w:numPr>
                <w:ilvl w:val="0"/>
                <w:numId w:val="0"/>
              </w:numPr>
              <w:spacing w:before="120" w:after="120"/>
              <w:contextualSpacing w:val="0"/>
            </w:pPr>
            <w:proofErr w:type="spellStart"/>
            <w:r>
              <w:t>Niederlande</w:t>
            </w:r>
            <w:proofErr w:type="spellEnd"/>
            <w:r>
              <w:t xml:space="preserve"> – </w:t>
            </w:r>
            <w:proofErr w:type="spellStart"/>
            <w:r>
              <w:t>Entscheidung</w:t>
            </w:r>
            <w:proofErr w:type="spellEnd"/>
            <w:r>
              <w:t xml:space="preserve"> </w:t>
            </w:r>
            <w:proofErr w:type="spellStart"/>
            <w:r>
              <w:t>vom</w:t>
            </w:r>
            <w:proofErr w:type="spellEnd"/>
            <w:r>
              <w:t xml:space="preserve"> 22. </w:t>
            </w:r>
            <w:proofErr w:type="spellStart"/>
            <w:r>
              <w:t>März</w:t>
            </w:r>
            <w:proofErr w:type="spellEnd"/>
            <w:r>
              <w:t xml:space="preserve"> 2001 </w:t>
            </w:r>
            <w:proofErr w:type="spellStart"/>
            <w:r>
              <w:t>zur</w:t>
            </w:r>
            <w:proofErr w:type="spellEnd"/>
            <w:r>
              <w:t xml:space="preserve"> </w:t>
            </w:r>
            <w:proofErr w:type="spellStart"/>
            <w:r>
              <w:t>Rohstoffentscheidung</w:t>
            </w:r>
            <w:proofErr w:type="spellEnd"/>
            <w:r>
              <w:t xml:space="preserve"> </w:t>
            </w:r>
            <w:proofErr w:type="spellStart"/>
            <w:r>
              <w:t>bzgl</w:t>
            </w:r>
            <w:proofErr w:type="spellEnd"/>
            <w:r>
              <w:t xml:space="preserve">. </w:t>
            </w:r>
            <w:proofErr w:type="spellStart"/>
            <w:r>
              <w:t>Formaldehyd</w:t>
            </w:r>
            <w:proofErr w:type="spellEnd"/>
            <w:r>
              <w:t xml:space="preserve"> in </w:t>
            </w:r>
            <w:proofErr w:type="spellStart"/>
            <w:r>
              <w:t>Textilien</w:t>
            </w:r>
            <w:proofErr w:type="spellEnd"/>
          </w:p>
          <w:p w14:paraId="01C37301" w14:textId="67405EC8" w:rsidR="00DC0DF7" w:rsidRPr="00E5181A" w:rsidRDefault="00DC0DF7" w:rsidP="00DC0DF7">
            <w:pPr>
              <w:pStyle w:val="sBullet"/>
              <w:numPr>
                <w:ilvl w:val="0"/>
                <w:numId w:val="0"/>
              </w:numPr>
              <w:spacing w:before="120" w:after="120"/>
              <w:contextualSpacing w:val="0"/>
            </w:pPr>
            <w:proofErr w:type="spellStart"/>
            <w:r>
              <w:t>Österreich</w:t>
            </w:r>
            <w:proofErr w:type="spellEnd"/>
            <w:r>
              <w:t xml:space="preserve"> – </w:t>
            </w:r>
            <w:proofErr w:type="spellStart"/>
            <w:r>
              <w:t>BGBl</w:t>
            </w:r>
            <w:proofErr w:type="spellEnd"/>
            <w:r>
              <w:t xml:space="preserve">. Nr. 194/1990; </w:t>
            </w:r>
            <w:proofErr w:type="spellStart"/>
            <w:r>
              <w:t>Formaldehydverordnung</w:t>
            </w:r>
            <w:proofErr w:type="spellEnd"/>
            <w:r>
              <w:t xml:space="preserve">, 12. </w:t>
            </w:r>
            <w:proofErr w:type="spellStart"/>
            <w:r>
              <w:t>Februar</w:t>
            </w:r>
            <w:proofErr w:type="spellEnd"/>
            <w:r>
              <w:t xml:space="preserve"> 1990</w:t>
            </w:r>
          </w:p>
        </w:tc>
      </w:tr>
      <w:tr w:rsidR="00DC0DF7" w:rsidRPr="008F266A" w14:paraId="01C37318"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EFD83F9"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t>Halogene:</w:t>
            </w:r>
          </w:p>
          <w:p w14:paraId="2EBCADE4" w14:textId="77777777" w:rsidR="00DC0DF7" w:rsidRPr="00C175FC" w:rsidRDefault="00DC0DF7" w:rsidP="00DC0DF7">
            <w:pPr>
              <w:pStyle w:val="sBullet"/>
              <w:numPr>
                <w:ilvl w:val="0"/>
                <w:numId w:val="0"/>
              </w:numPr>
              <w:spacing w:before="120" w:after="120"/>
              <w:ind w:left="340"/>
              <w:contextualSpacing w:val="0"/>
            </w:pPr>
            <w:r>
              <w:t>Brom</w:t>
            </w:r>
          </w:p>
          <w:p w14:paraId="1767D3C8" w14:textId="77777777" w:rsidR="00DC0DF7" w:rsidRPr="00C175FC" w:rsidRDefault="00DC0DF7" w:rsidP="00DC0DF7">
            <w:pPr>
              <w:pStyle w:val="sBullet"/>
              <w:numPr>
                <w:ilvl w:val="0"/>
                <w:numId w:val="0"/>
              </w:numPr>
              <w:spacing w:before="120" w:after="120"/>
              <w:ind w:left="340"/>
              <w:contextualSpacing w:val="0"/>
            </w:pPr>
            <w:proofErr w:type="spellStart"/>
            <w:r>
              <w:t>Chlor</w:t>
            </w:r>
            <w:proofErr w:type="spellEnd"/>
          </w:p>
          <w:p w14:paraId="05344BDE" w14:textId="77777777" w:rsidR="00DC0DF7" w:rsidRPr="00C175FC" w:rsidRDefault="00DC0DF7" w:rsidP="00DC0DF7">
            <w:pPr>
              <w:pStyle w:val="sBullet"/>
              <w:numPr>
                <w:ilvl w:val="0"/>
                <w:numId w:val="0"/>
              </w:numPr>
              <w:spacing w:before="120" w:after="120"/>
              <w:ind w:left="340"/>
              <w:contextualSpacing w:val="0"/>
            </w:pPr>
            <w:r>
              <w:t>Fluor</w:t>
            </w:r>
          </w:p>
          <w:p w14:paraId="424F3D91" w14:textId="77777777" w:rsidR="00DC0DF7" w:rsidRPr="00C175FC" w:rsidRDefault="00DC0DF7" w:rsidP="00DC0DF7">
            <w:pPr>
              <w:pStyle w:val="sBullet"/>
              <w:numPr>
                <w:ilvl w:val="0"/>
                <w:numId w:val="0"/>
              </w:numPr>
              <w:spacing w:before="120" w:after="120"/>
              <w:ind w:left="340"/>
              <w:contextualSpacing w:val="0"/>
            </w:pPr>
            <w:proofErr w:type="spellStart"/>
            <w:r>
              <w:t>Jod</w:t>
            </w:r>
            <w:proofErr w:type="spellEnd"/>
          </w:p>
          <w:p w14:paraId="01C37308" w14:textId="74F9CD2C" w:rsidR="00DC0DF7" w:rsidRPr="00E5181A" w:rsidRDefault="00DC0DF7" w:rsidP="00DC0DF7">
            <w:pPr>
              <w:pStyle w:val="sBullet"/>
              <w:numPr>
                <w:ilvl w:val="0"/>
                <w:numId w:val="0"/>
              </w:numPr>
              <w:spacing w:before="120" w:after="120"/>
              <w:ind w:left="340"/>
              <w:contextualSpacing w:val="0"/>
            </w:pPr>
            <w:proofErr w:type="spellStart"/>
            <w:r>
              <w:t>Astat</w:t>
            </w:r>
            <w:proofErr w:type="spellEnd"/>
          </w:p>
        </w:tc>
        <w:tc>
          <w:tcPr>
            <w:tcW w:w="1094" w:type="dxa"/>
          </w:tcPr>
          <w:p w14:paraId="0FCD40BE" w14:textId="77777777" w:rsidR="00DC0DF7" w:rsidRPr="00D0185A" w:rsidRDefault="00DC0DF7" w:rsidP="00DC0DF7">
            <w:pPr>
              <w:keepNext/>
              <w:keepLines/>
              <w:spacing w:before="120" w:after="120"/>
              <w:jc w:val="center"/>
              <w:rPr>
                <w:color w:val="000000"/>
                <w:sz w:val="16"/>
                <w:szCs w:val="16"/>
              </w:rPr>
            </w:pPr>
            <w:r>
              <w:rPr>
                <w:color w:val="000000"/>
                <w:sz w:val="16"/>
                <w:szCs w:val="16"/>
              </w:rPr>
              <w:t>-</w:t>
            </w:r>
          </w:p>
          <w:p w14:paraId="5039696D" w14:textId="77777777" w:rsidR="00DC0DF7" w:rsidRPr="00D0185A" w:rsidRDefault="00DC0DF7" w:rsidP="00DC0DF7">
            <w:pPr>
              <w:keepNext/>
              <w:keepLines/>
              <w:spacing w:before="120" w:after="120"/>
              <w:jc w:val="center"/>
              <w:rPr>
                <w:color w:val="000000"/>
                <w:sz w:val="16"/>
                <w:szCs w:val="16"/>
              </w:rPr>
            </w:pPr>
            <w:r>
              <w:rPr>
                <w:color w:val="000000"/>
                <w:sz w:val="16"/>
                <w:szCs w:val="16"/>
              </w:rPr>
              <w:t>7726-95-6</w:t>
            </w:r>
          </w:p>
          <w:p w14:paraId="458E6179" w14:textId="77777777" w:rsidR="00DC0DF7" w:rsidRPr="00D0185A" w:rsidRDefault="00DC0DF7" w:rsidP="00DC0DF7">
            <w:pPr>
              <w:keepNext/>
              <w:keepLines/>
              <w:spacing w:before="120" w:after="120"/>
              <w:jc w:val="center"/>
              <w:rPr>
                <w:color w:val="000000"/>
                <w:sz w:val="16"/>
                <w:szCs w:val="16"/>
              </w:rPr>
            </w:pPr>
            <w:r>
              <w:rPr>
                <w:color w:val="000000"/>
                <w:sz w:val="16"/>
                <w:szCs w:val="16"/>
              </w:rPr>
              <w:t>7782-50-5</w:t>
            </w:r>
          </w:p>
          <w:p w14:paraId="023E47DC" w14:textId="77777777" w:rsidR="00DC0DF7" w:rsidRPr="00D0185A" w:rsidRDefault="00DC0DF7" w:rsidP="00DC0DF7">
            <w:pPr>
              <w:keepNext/>
              <w:keepLines/>
              <w:spacing w:before="120" w:after="120"/>
              <w:jc w:val="center"/>
              <w:rPr>
                <w:color w:val="000000"/>
                <w:sz w:val="16"/>
                <w:szCs w:val="16"/>
              </w:rPr>
            </w:pPr>
            <w:r>
              <w:rPr>
                <w:color w:val="000000"/>
                <w:sz w:val="16"/>
                <w:szCs w:val="16"/>
              </w:rPr>
              <w:t>7782-41-4</w:t>
            </w:r>
          </w:p>
          <w:p w14:paraId="2A5781CA" w14:textId="77777777" w:rsidR="00DC0DF7" w:rsidRPr="00D0185A" w:rsidRDefault="00DC0DF7" w:rsidP="00DC0DF7">
            <w:pPr>
              <w:keepNext/>
              <w:keepLines/>
              <w:spacing w:before="120" w:after="120"/>
              <w:jc w:val="center"/>
              <w:rPr>
                <w:color w:val="000000"/>
                <w:sz w:val="16"/>
                <w:szCs w:val="16"/>
              </w:rPr>
            </w:pPr>
            <w:r>
              <w:rPr>
                <w:color w:val="000000"/>
                <w:sz w:val="16"/>
                <w:szCs w:val="16"/>
              </w:rPr>
              <w:t>7553-56-2</w:t>
            </w:r>
          </w:p>
          <w:p w14:paraId="01C3730E" w14:textId="7A1AE511" w:rsidR="00DC0DF7" w:rsidRPr="00E5181A" w:rsidRDefault="00DC0DF7" w:rsidP="00DC0DF7">
            <w:pPr>
              <w:keepNext/>
              <w:keepLines/>
              <w:spacing w:before="120" w:after="120"/>
              <w:jc w:val="center"/>
              <w:rPr>
                <w:color w:val="000000" w:themeColor="text1"/>
                <w:sz w:val="16"/>
                <w:szCs w:val="16"/>
              </w:rPr>
            </w:pPr>
            <w:r>
              <w:rPr>
                <w:color w:val="000000"/>
                <w:sz w:val="16"/>
                <w:szCs w:val="16"/>
              </w:rPr>
              <w:t>7440-68-8</w:t>
            </w:r>
          </w:p>
        </w:tc>
        <w:tc>
          <w:tcPr>
            <w:tcW w:w="3959" w:type="dxa"/>
          </w:tcPr>
          <w:p w14:paraId="553652B5" w14:textId="77777777" w:rsidR="00DC0DF7" w:rsidRPr="00C175FC" w:rsidRDefault="00DC0DF7" w:rsidP="00DC0DF7">
            <w:pPr>
              <w:pStyle w:val="sBullet"/>
              <w:numPr>
                <w:ilvl w:val="0"/>
                <w:numId w:val="0"/>
              </w:numPr>
              <w:spacing w:before="120" w:after="120"/>
              <w:contextualSpacing w:val="0"/>
            </w:pPr>
            <w:proofErr w:type="spellStart"/>
            <w:r>
              <w:t>Einsatz</w:t>
            </w:r>
            <w:proofErr w:type="spellEnd"/>
            <w:r>
              <w:t xml:space="preserve"> in </w:t>
            </w:r>
            <w:proofErr w:type="spellStart"/>
            <w:r>
              <w:t>Teilen</w:t>
            </w:r>
            <w:proofErr w:type="spellEnd"/>
            <w:r>
              <w:t xml:space="preserve">, </w:t>
            </w:r>
            <w:proofErr w:type="spellStart"/>
            <w:r>
              <w:t>Komponenten</w:t>
            </w:r>
            <w:proofErr w:type="spellEnd"/>
            <w:r>
              <w:t xml:space="preserve"> und </w:t>
            </w:r>
            <w:proofErr w:type="spellStart"/>
            <w:r>
              <w:t>Materialien</w:t>
            </w:r>
            <w:proofErr w:type="spellEnd"/>
            <w:r>
              <w:t xml:space="preserve"> </w:t>
            </w:r>
            <w:proofErr w:type="spellStart"/>
            <w:r>
              <w:t>sollte</w:t>
            </w:r>
            <w:proofErr w:type="spellEnd"/>
            <w:r>
              <w:t xml:space="preserve"> </w:t>
            </w:r>
            <w:proofErr w:type="spellStart"/>
            <w:r>
              <w:t>soweit</w:t>
            </w:r>
            <w:proofErr w:type="spellEnd"/>
            <w:r>
              <w:t xml:space="preserve"> </w:t>
            </w:r>
            <w:proofErr w:type="spellStart"/>
            <w:r>
              <w:t>wie</w:t>
            </w:r>
            <w:proofErr w:type="spellEnd"/>
            <w:r>
              <w:t xml:space="preserve"> </w:t>
            </w:r>
            <w:proofErr w:type="spellStart"/>
            <w:r>
              <w:t>möglich</w:t>
            </w:r>
            <w:proofErr w:type="spellEnd"/>
            <w:r>
              <w:t xml:space="preserve"> </w:t>
            </w:r>
            <w:proofErr w:type="spellStart"/>
            <w:r>
              <w:t>vermieden</w:t>
            </w:r>
            <w:proofErr w:type="spellEnd"/>
            <w:r>
              <w:t xml:space="preserve"> </w:t>
            </w:r>
            <w:proofErr w:type="spellStart"/>
            <w:r>
              <w:t>werden</w:t>
            </w:r>
            <w:proofErr w:type="spellEnd"/>
            <w:r>
              <w:t xml:space="preserve">, </w:t>
            </w:r>
            <w:proofErr w:type="spellStart"/>
            <w:r>
              <w:t>wenn</w:t>
            </w:r>
            <w:proofErr w:type="spellEnd"/>
            <w:r>
              <w:t xml:space="preserve"> </w:t>
            </w:r>
            <w:proofErr w:type="spellStart"/>
            <w:r>
              <w:t>angemessene</w:t>
            </w:r>
            <w:proofErr w:type="spellEnd"/>
            <w:r>
              <w:t xml:space="preserve"> </w:t>
            </w:r>
            <w:proofErr w:type="spellStart"/>
            <w:r>
              <w:t>Alternativen</w:t>
            </w:r>
            <w:proofErr w:type="spellEnd"/>
            <w:r>
              <w:t xml:space="preserve"> </w:t>
            </w:r>
            <w:proofErr w:type="spellStart"/>
            <w:r>
              <w:t>vorhanden</w:t>
            </w:r>
            <w:proofErr w:type="spellEnd"/>
            <w:r>
              <w:t xml:space="preserve"> </w:t>
            </w:r>
            <w:proofErr w:type="spellStart"/>
            <w:r>
              <w:t>sind</w:t>
            </w:r>
            <w:proofErr w:type="spellEnd"/>
            <w:r>
              <w:t>.</w:t>
            </w:r>
          </w:p>
          <w:p w14:paraId="200FDE92" w14:textId="77777777" w:rsidR="00DC0DF7" w:rsidRPr="00C175FC" w:rsidRDefault="00DC0DF7" w:rsidP="00DC0DF7">
            <w:pPr>
              <w:pStyle w:val="sBullet"/>
              <w:numPr>
                <w:ilvl w:val="0"/>
                <w:numId w:val="0"/>
              </w:numPr>
              <w:spacing w:before="120" w:after="120"/>
              <w:contextualSpacing w:val="0"/>
            </w:pPr>
            <w:proofErr w:type="spellStart"/>
            <w:r>
              <w:t>Typische</w:t>
            </w:r>
            <w:proofErr w:type="spellEnd"/>
            <w:r>
              <w:t xml:space="preserve"> </w:t>
            </w:r>
            <w:proofErr w:type="spellStart"/>
            <w:r>
              <w:t>besorgniserregende</w:t>
            </w:r>
            <w:proofErr w:type="spellEnd"/>
            <w:r>
              <w:t xml:space="preserve"> </w:t>
            </w:r>
            <w:proofErr w:type="spellStart"/>
            <w:r>
              <w:t>Halogenprodukte</w:t>
            </w:r>
            <w:proofErr w:type="spellEnd"/>
            <w:r>
              <w:t xml:space="preserve"> </w:t>
            </w:r>
            <w:proofErr w:type="spellStart"/>
            <w:r>
              <w:t>sind</w:t>
            </w:r>
            <w:proofErr w:type="spellEnd"/>
            <w:r>
              <w:t xml:space="preserve"> Brom und </w:t>
            </w:r>
            <w:proofErr w:type="spellStart"/>
            <w:r>
              <w:t>Chlor</w:t>
            </w:r>
            <w:proofErr w:type="spellEnd"/>
            <w:r>
              <w:t>:</w:t>
            </w:r>
          </w:p>
          <w:p w14:paraId="1BDA4156" w14:textId="77777777" w:rsidR="00DC0DF7" w:rsidRPr="00C175FC" w:rsidRDefault="00DC0DF7" w:rsidP="00DC0DF7">
            <w:pPr>
              <w:pStyle w:val="sBullet"/>
              <w:numPr>
                <w:ilvl w:val="0"/>
                <w:numId w:val="0"/>
              </w:numPr>
              <w:spacing w:before="120" w:after="120"/>
              <w:contextualSpacing w:val="0"/>
            </w:pPr>
            <w:r>
              <w:t xml:space="preserve">0,09 </w:t>
            </w:r>
            <w:proofErr w:type="spellStart"/>
            <w:r>
              <w:t>Gewichts</w:t>
            </w:r>
            <w:proofErr w:type="spellEnd"/>
            <w:r>
              <w:t xml:space="preserve">-% (900 ppm) </w:t>
            </w:r>
            <w:proofErr w:type="spellStart"/>
            <w:r>
              <w:t>oder</w:t>
            </w:r>
            <w:proofErr w:type="spellEnd"/>
            <w:r>
              <w:t xml:space="preserve"> </w:t>
            </w:r>
            <w:proofErr w:type="spellStart"/>
            <w:r>
              <w:t>weniger</w:t>
            </w:r>
            <w:proofErr w:type="spellEnd"/>
            <w:r>
              <w:t xml:space="preserve"> Brom und </w:t>
            </w:r>
            <w:proofErr w:type="spellStart"/>
            <w:r>
              <w:t>Chlor</w:t>
            </w:r>
            <w:proofErr w:type="spellEnd"/>
            <w:r>
              <w:t xml:space="preserve">, </w:t>
            </w:r>
            <w:proofErr w:type="spellStart"/>
            <w:r>
              <w:t>oder</w:t>
            </w:r>
            <w:proofErr w:type="spellEnd"/>
            <w:r>
              <w:t xml:space="preserve"> 0,15 % (1500 ppm) in </w:t>
            </w:r>
            <w:proofErr w:type="spellStart"/>
            <w:r>
              <w:t>Kombination</w:t>
            </w:r>
            <w:proofErr w:type="spellEnd"/>
            <w:r>
              <w:t xml:space="preserve"> [</w:t>
            </w:r>
            <w:proofErr w:type="spellStart"/>
            <w:r>
              <w:t>wobei</w:t>
            </w:r>
            <w:proofErr w:type="spellEnd"/>
            <w:r>
              <w:t xml:space="preserve"> die </w:t>
            </w:r>
            <w:proofErr w:type="spellStart"/>
            <w:r>
              <w:t>einzelnen</w:t>
            </w:r>
            <w:proofErr w:type="spellEnd"/>
            <w:r>
              <w:t xml:space="preserve"> </w:t>
            </w:r>
            <w:proofErr w:type="spellStart"/>
            <w:r>
              <w:t>Bestandteile</w:t>
            </w:r>
            <w:proofErr w:type="spellEnd"/>
            <w:r>
              <w:t xml:space="preserve"> 0,09 % (900 ppm) </w:t>
            </w:r>
            <w:proofErr w:type="spellStart"/>
            <w:r>
              <w:t>nicht</w:t>
            </w:r>
            <w:proofErr w:type="spellEnd"/>
            <w:r>
              <w:t xml:space="preserve"> </w:t>
            </w:r>
            <w:proofErr w:type="spellStart"/>
            <w:r>
              <w:t>überschreiten</w:t>
            </w:r>
            <w:proofErr w:type="spellEnd"/>
            <w:r>
              <w:t xml:space="preserve"> </w:t>
            </w:r>
            <w:proofErr w:type="spellStart"/>
            <w:r>
              <w:t>dürfen</w:t>
            </w:r>
            <w:proofErr w:type="spellEnd"/>
            <w:r>
              <w:t xml:space="preserve">] in </w:t>
            </w:r>
            <w:proofErr w:type="spellStart"/>
            <w:r>
              <w:t>homogenen</w:t>
            </w:r>
            <w:proofErr w:type="spellEnd"/>
            <w:r>
              <w:t xml:space="preserve"> </w:t>
            </w:r>
            <w:proofErr w:type="spellStart"/>
            <w:r>
              <w:t>Materialien</w:t>
            </w:r>
            <w:proofErr w:type="spellEnd"/>
            <w:r>
              <w:t xml:space="preserve"> </w:t>
            </w:r>
            <w:proofErr w:type="spellStart"/>
            <w:r>
              <w:t>für</w:t>
            </w:r>
            <w:proofErr w:type="spellEnd"/>
            <w:r>
              <w:t xml:space="preserve"> </w:t>
            </w:r>
            <w:proofErr w:type="spellStart"/>
            <w:r>
              <w:t>Leiterplatten</w:t>
            </w:r>
            <w:proofErr w:type="spellEnd"/>
            <w:r>
              <w:t xml:space="preserve"> </w:t>
            </w:r>
            <w:proofErr w:type="spellStart"/>
            <w:r>
              <w:t>oder</w:t>
            </w:r>
            <w:proofErr w:type="spellEnd"/>
            <w:r>
              <w:t xml:space="preserve"> </w:t>
            </w:r>
            <w:proofErr w:type="spellStart"/>
            <w:r>
              <w:t>Substraten</w:t>
            </w:r>
            <w:proofErr w:type="spellEnd"/>
            <w:r>
              <w:t>.</w:t>
            </w:r>
          </w:p>
          <w:p w14:paraId="1F093FDC" w14:textId="77777777" w:rsidR="00DC0DF7" w:rsidRPr="00C175FC" w:rsidRDefault="00DC0DF7" w:rsidP="00DC0DF7">
            <w:pPr>
              <w:pStyle w:val="sBullet"/>
              <w:numPr>
                <w:ilvl w:val="0"/>
                <w:numId w:val="0"/>
              </w:numPr>
              <w:spacing w:before="120" w:after="120"/>
              <w:contextualSpacing w:val="0"/>
            </w:pPr>
            <w:r>
              <w:t xml:space="preserve">0,1 % (1000 ppm) </w:t>
            </w:r>
            <w:proofErr w:type="spellStart"/>
            <w:r>
              <w:t>oder</w:t>
            </w:r>
            <w:proofErr w:type="spellEnd"/>
            <w:r>
              <w:t xml:space="preserve"> </w:t>
            </w:r>
            <w:proofErr w:type="spellStart"/>
            <w:r>
              <w:t>weniger</w:t>
            </w:r>
            <w:proofErr w:type="spellEnd"/>
            <w:r>
              <w:t xml:space="preserve"> Brom (</w:t>
            </w:r>
            <w:proofErr w:type="spellStart"/>
            <w:r>
              <w:t>aus</w:t>
            </w:r>
            <w:proofErr w:type="spellEnd"/>
            <w:r>
              <w:t xml:space="preserve"> BFRs) </w:t>
            </w:r>
            <w:proofErr w:type="spellStart"/>
            <w:r>
              <w:t>oder</w:t>
            </w:r>
            <w:proofErr w:type="spellEnd"/>
            <w:r>
              <w:t xml:space="preserve"> 0,1 % (1000 ppm) </w:t>
            </w:r>
            <w:proofErr w:type="spellStart"/>
            <w:r>
              <w:t>Chlor</w:t>
            </w:r>
            <w:proofErr w:type="spellEnd"/>
            <w:r>
              <w:t xml:space="preserve"> (</w:t>
            </w:r>
            <w:proofErr w:type="spellStart"/>
            <w:r>
              <w:t>aus</w:t>
            </w:r>
            <w:proofErr w:type="spellEnd"/>
            <w:r>
              <w:t xml:space="preserve"> CFRs </w:t>
            </w:r>
            <w:proofErr w:type="spellStart"/>
            <w:r>
              <w:t>oder</w:t>
            </w:r>
            <w:proofErr w:type="spellEnd"/>
            <w:r>
              <w:t xml:space="preserve"> PVC-</w:t>
            </w:r>
            <w:proofErr w:type="spellStart"/>
            <w:r>
              <w:t>Komponenten</w:t>
            </w:r>
            <w:proofErr w:type="spellEnd"/>
            <w:r>
              <w:t xml:space="preserve">) in </w:t>
            </w:r>
            <w:proofErr w:type="spellStart"/>
            <w:r>
              <w:t>homogenen</w:t>
            </w:r>
            <w:proofErr w:type="spellEnd"/>
            <w:r>
              <w:t xml:space="preserve"> </w:t>
            </w:r>
            <w:proofErr w:type="spellStart"/>
            <w:r>
              <w:t>Materialien</w:t>
            </w:r>
            <w:proofErr w:type="spellEnd"/>
            <w:r>
              <w:t xml:space="preserve"> in </w:t>
            </w:r>
            <w:proofErr w:type="spellStart"/>
            <w:r>
              <w:t>Komponenten</w:t>
            </w:r>
            <w:proofErr w:type="spellEnd"/>
            <w:r>
              <w:t xml:space="preserve">, die </w:t>
            </w:r>
            <w:proofErr w:type="spellStart"/>
            <w:r>
              <w:t>als</w:t>
            </w:r>
            <w:proofErr w:type="spellEnd"/>
            <w:r>
              <w:t xml:space="preserve"> </w:t>
            </w:r>
            <w:proofErr w:type="spellStart"/>
            <w:r>
              <w:t>mit</w:t>
            </w:r>
            <w:proofErr w:type="spellEnd"/>
            <w:r>
              <w:t xml:space="preserve"> "</w:t>
            </w:r>
            <w:proofErr w:type="spellStart"/>
            <w:r>
              <w:t>niedrigem</w:t>
            </w:r>
            <w:proofErr w:type="spellEnd"/>
            <w:r>
              <w:t xml:space="preserve"> </w:t>
            </w:r>
            <w:proofErr w:type="spellStart"/>
            <w:r>
              <w:t>Halogengehalt</w:t>
            </w:r>
            <w:proofErr w:type="spellEnd"/>
            <w:r>
              <w:t xml:space="preserve"> (BFR/CFR/PVC-</w:t>
            </w:r>
            <w:proofErr w:type="spellStart"/>
            <w:r>
              <w:t>frei</w:t>
            </w:r>
            <w:proofErr w:type="spellEnd"/>
            <w:r>
              <w:t xml:space="preserve">)" </w:t>
            </w:r>
            <w:proofErr w:type="spellStart"/>
            <w:r>
              <w:t>eingestuft</w:t>
            </w:r>
            <w:proofErr w:type="spellEnd"/>
            <w:r>
              <w:t xml:space="preserve"> </w:t>
            </w:r>
            <w:proofErr w:type="spellStart"/>
            <w:r>
              <w:t>sind</w:t>
            </w:r>
            <w:proofErr w:type="spellEnd"/>
            <w:r>
              <w:t>.</w:t>
            </w:r>
          </w:p>
          <w:p w14:paraId="01C37313" w14:textId="40E39691" w:rsidR="00DC0DF7" w:rsidRPr="00E5181A" w:rsidRDefault="00DC0DF7" w:rsidP="00DC0DF7">
            <w:pPr>
              <w:pStyle w:val="sBullet"/>
              <w:numPr>
                <w:ilvl w:val="0"/>
                <w:numId w:val="0"/>
              </w:numPr>
              <w:spacing w:before="120" w:after="120"/>
              <w:contextualSpacing w:val="0"/>
            </w:pPr>
            <w:proofErr w:type="spellStart"/>
            <w:r>
              <w:t>Siehe</w:t>
            </w:r>
            <w:proofErr w:type="spellEnd"/>
            <w:r>
              <w:t xml:space="preserve"> </w:t>
            </w:r>
            <w:proofErr w:type="spellStart"/>
            <w:r>
              <w:t>bromierte</w:t>
            </w:r>
            <w:proofErr w:type="spellEnd"/>
            <w:r>
              <w:t xml:space="preserve"> </w:t>
            </w:r>
            <w:proofErr w:type="spellStart"/>
            <w:r>
              <w:t>Flammschutzmittel</w:t>
            </w:r>
            <w:proofErr w:type="spellEnd"/>
            <w:r>
              <w:t>.</w:t>
            </w:r>
          </w:p>
        </w:tc>
        <w:tc>
          <w:tcPr>
            <w:tcW w:w="2425" w:type="dxa"/>
          </w:tcPr>
          <w:p w14:paraId="78B5BF0A" w14:textId="77777777" w:rsidR="00DC0DF7" w:rsidRPr="00C175FC" w:rsidRDefault="00DC0DF7" w:rsidP="00DC0DF7">
            <w:pPr>
              <w:pStyle w:val="sBullet"/>
              <w:numPr>
                <w:ilvl w:val="0"/>
                <w:numId w:val="0"/>
              </w:numPr>
              <w:spacing w:before="120" w:after="120"/>
              <w:contextualSpacing w:val="0"/>
            </w:pPr>
            <w:proofErr w:type="spellStart"/>
            <w:r>
              <w:t>Industrierichtlinie</w:t>
            </w:r>
            <w:proofErr w:type="spellEnd"/>
            <w:r>
              <w:t xml:space="preserve"> - </w:t>
            </w:r>
            <w:proofErr w:type="spellStart"/>
            <w:r>
              <w:t>iNEMA</w:t>
            </w:r>
            <w:proofErr w:type="spellEnd"/>
          </w:p>
          <w:p w14:paraId="6F6ED9D7" w14:textId="77777777" w:rsidR="00DC0DF7" w:rsidRPr="00C175FC" w:rsidRDefault="00DC0DF7" w:rsidP="00DC0DF7">
            <w:pPr>
              <w:pStyle w:val="sBullet"/>
              <w:numPr>
                <w:ilvl w:val="0"/>
                <w:numId w:val="0"/>
              </w:numPr>
              <w:spacing w:before="120" w:after="120"/>
              <w:contextualSpacing w:val="0"/>
            </w:pPr>
            <w:proofErr w:type="spellStart"/>
            <w:r>
              <w:t>Industrierichtlinie</w:t>
            </w:r>
            <w:proofErr w:type="spellEnd"/>
            <w:r>
              <w:t xml:space="preserve"> – IPC-4101B</w:t>
            </w:r>
          </w:p>
          <w:p w14:paraId="0AA80D03" w14:textId="77777777" w:rsidR="00DC0DF7" w:rsidRPr="00C175FC" w:rsidRDefault="00DC0DF7" w:rsidP="00DC0DF7">
            <w:pPr>
              <w:pStyle w:val="sBullet"/>
              <w:numPr>
                <w:ilvl w:val="0"/>
                <w:numId w:val="0"/>
              </w:numPr>
              <w:spacing w:before="120" w:after="120"/>
              <w:contextualSpacing w:val="0"/>
            </w:pPr>
            <w:proofErr w:type="spellStart"/>
            <w:r>
              <w:t>Industrierichtlinie</w:t>
            </w:r>
            <w:proofErr w:type="spellEnd"/>
            <w:r>
              <w:t xml:space="preserve"> –IPC-J-709</w:t>
            </w:r>
          </w:p>
          <w:p w14:paraId="01C37317" w14:textId="6C07E1F6" w:rsidR="00DC0DF7" w:rsidRPr="00C10C50" w:rsidRDefault="00DC0DF7" w:rsidP="00DC0DF7">
            <w:pPr>
              <w:pStyle w:val="sBullet"/>
              <w:numPr>
                <w:ilvl w:val="0"/>
                <w:numId w:val="0"/>
              </w:numPr>
              <w:spacing w:before="120" w:after="120"/>
              <w:contextualSpacing w:val="0"/>
            </w:pPr>
            <w:proofErr w:type="spellStart"/>
            <w:r>
              <w:t>Industrierichtlinie</w:t>
            </w:r>
            <w:proofErr w:type="spellEnd"/>
            <w:r>
              <w:t xml:space="preserve"> –IEC61249-2-21</w:t>
            </w:r>
          </w:p>
        </w:tc>
      </w:tr>
      <w:tr w:rsidR="00DC0DF7" w:rsidRPr="00CA64FE" w14:paraId="01C3731E"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319" w14:textId="476B7D33" w:rsidR="00DC0DF7" w:rsidRPr="00CA64FE" w:rsidRDefault="00DC0DF7" w:rsidP="00DC0DF7">
            <w:pPr>
              <w:keepNext/>
              <w:keepLines/>
              <w:spacing w:before="120" w:after="120"/>
              <w:rPr>
                <w:color w:val="000000" w:themeColor="text1"/>
                <w:sz w:val="16"/>
                <w:szCs w:val="16"/>
              </w:rPr>
            </w:pPr>
            <w:proofErr w:type="spellStart"/>
            <w:r>
              <w:rPr>
                <w:color w:val="000000"/>
                <w:sz w:val="16"/>
                <w:szCs w:val="16"/>
              </w:rPr>
              <w:t>Halogenhaltige</w:t>
            </w:r>
            <w:proofErr w:type="spellEnd"/>
            <w:r>
              <w:rPr>
                <w:color w:val="000000"/>
                <w:sz w:val="16"/>
                <w:szCs w:val="16"/>
              </w:rPr>
              <w:t xml:space="preserve"> </w:t>
            </w:r>
            <w:proofErr w:type="spellStart"/>
            <w:r>
              <w:rPr>
                <w:color w:val="000000"/>
                <w:sz w:val="16"/>
                <w:szCs w:val="16"/>
              </w:rPr>
              <w:t>aromatische</w:t>
            </w:r>
            <w:proofErr w:type="spellEnd"/>
            <w:r>
              <w:rPr>
                <w:color w:val="000000"/>
                <w:sz w:val="16"/>
                <w:szCs w:val="16"/>
              </w:rPr>
              <w:t xml:space="preserve"> </w:t>
            </w:r>
            <w:proofErr w:type="spellStart"/>
            <w:r>
              <w:rPr>
                <w:color w:val="000000"/>
                <w:sz w:val="16"/>
                <w:szCs w:val="16"/>
              </w:rPr>
              <w:t>Stoffe</w:t>
            </w:r>
            <w:proofErr w:type="spellEnd"/>
          </w:p>
        </w:tc>
        <w:tc>
          <w:tcPr>
            <w:tcW w:w="1094" w:type="dxa"/>
          </w:tcPr>
          <w:p w14:paraId="01C3731A" w14:textId="2B738F67" w:rsidR="00DC0DF7" w:rsidRPr="00CA64FE"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44F20AA1" w14:textId="77777777" w:rsidR="00DC0DF7" w:rsidRPr="004E46E3" w:rsidRDefault="00DC0DF7" w:rsidP="00DC0DF7">
            <w:pPr>
              <w:spacing w:before="120" w:after="120"/>
              <w:rPr>
                <w:sz w:val="16"/>
                <w:lang w:val="de-DE"/>
              </w:rPr>
            </w:pPr>
            <w:r w:rsidRPr="004E46E3">
              <w:rPr>
                <w:sz w:val="16"/>
                <w:lang w:val="de-DE"/>
              </w:rPr>
              <w:t>Darf nicht in Konzentrationen von über 0,05 % (500 ppm) für monohalogeniert oder 0,005 % (50 ppm) für polyhalogenierte aromatische Stoffe in Kondensatoren oder Transformatoren in den Materialien der Komponenten.</w:t>
            </w:r>
          </w:p>
          <w:p w14:paraId="01C3731C" w14:textId="148E9031" w:rsidR="00DC0DF7" w:rsidRPr="007639D2" w:rsidRDefault="00DC0DF7" w:rsidP="00DC0DF7">
            <w:pPr>
              <w:spacing w:before="120" w:after="120"/>
              <w:rPr>
                <w:sz w:val="16"/>
              </w:rPr>
            </w:pPr>
            <w:r w:rsidRPr="004E46E3">
              <w:rPr>
                <w:sz w:val="16"/>
                <w:lang w:val="de-DE"/>
              </w:rPr>
              <w:t>Hinweis: Angegebene halogenierte organische Verbindungen sind ebenfalls verboten - siehe auch ORRChem.</w:t>
            </w:r>
          </w:p>
        </w:tc>
        <w:tc>
          <w:tcPr>
            <w:tcW w:w="2425" w:type="dxa"/>
          </w:tcPr>
          <w:p w14:paraId="01C3731D" w14:textId="41544C8A" w:rsidR="00DC0DF7" w:rsidRPr="0065770F" w:rsidRDefault="00DC0DF7" w:rsidP="00DC0DF7">
            <w:pPr>
              <w:keepNext/>
              <w:keepLines/>
              <w:spacing w:before="120" w:after="120"/>
              <w:rPr>
                <w:color w:val="000000" w:themeColor="text1"/>
                <w:sz w:val="16"/>
                <w:szCs w:val="16"/>
              </w:rPr>
            </w:pPr>
            <w:r w:rsidRPr="004E46E3">
              <w:rPr>
                <w:color w:val="000000"/>
                <w:sz w:val="16"/>
                <w:szCs w:val="16"/>
                <w:lang w:val="de-DE"/>
              </w:rPr>
              <w:t>Schweiz – Chemikalien-Risikoreduktions-Verordnung (ChemRRV)</w:t>
            </w:r>
          </w:p>
        </w:tc>
      </w:tr>
      <w:tr w:rsidR="00DC0DF7" w:rsidRPr="002A6DFD" w14:paraId="01C37327"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31F" w14:textId="24995D87" w:rsidR="00DC0DF7" w:rsidRPr="002A6DFD" w:rsidRDefault="00DC0DF7" w:rsidP="00DC0DF7">
            <w:pPr>
              <w:keepNext/>
              <w:keepLines/>
              <w:spacing w:before="120" w:after="120"/>
              <w:rPr>
                <w:color w:val="000000" w:themeColor="text1"/>
                <w:sz w:val="16"/>
                <w:szCs w:val="16"/>
              </w:rPr>
            </w:pPr>
            <w:proofErr w:type="spellStart"/>
            <w:r>
              <w:rPr>
                <w:color w:val="000000"/>
                <w:sz w:val="16"/>
                <w:szCs w:val="16"/>
              </w:rPr>
              <w:t>Schwermetalle</w:t>
            </w:r>
            <w:proofErr w:type="spellEnd"/>
            <w:r>
              <w:rPr>
                <w:color w:val="000000"/>
                <w:sz w:val="16"/>
                <w:szCs w:val="16"/>
              </w:rPr>
              <w:t xml:space="preserve"> in </w:t>
            </w:r>
            <w:proofErr w:type="spellStart"/>
            <w:r>
              <w:rPr>
                <w:color w:val="000000"/>
                <w:sz w:val="16"/>
                <w:szCs w:val="16"/>
              </w:rPr>
              <w:t>Batterien</w:t>
            </w:r>
            <w:proofErr w:type="spellEnd"/>
            <w:r>
              <w:rPr>
                <w:color w:val="000000"/>
                <w:sz w:val="16"/>
                <w:szCs w:val="16"/>
              </w:rPr>
              <w:t>/</w:t>
            </w:r>
            <w:proofErr w:type="spellStart"/>
            <w:r>
              <w:rPr>
                <w:color w:val="000000"/>
                <w:sz w:val="16"/>
                <w:szCs w:val="16"/>
              </w:rPr>
              <w:t>Akkus</w:t>
            </w:r>
            <w:proofErr w:type="spellEnd"/>
          </w:p>
        </w:tc>
        <w:tc>
          <w:tcPr>
            <w:tcW w:w="1094" w:type="dxa"/>
          </w:tcPr>
          <w:p w14:paraId="01C37320" w14:textId="370D467C" w:rsidR="00DC0DF7" w:rsidRPr="002A6DFD"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5C6FEB85"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t>Schwermetalle in Batterien und Akkus dürfen generell* die folgenden Werte nicht überschreiten:</w:t>
            </w:r>
          </w:p>
          <w:p w14:paraId="4CAB3517" w14:textId="77777777" w:rsidR="00DC0DF7" w:rsidRPr="0016190B" w:rsidRDefault="00DC0DF7" w:rsidP="00C5606C">
            <w:pPr>
              <w:keepNext/>
              <w:keepLines/>
              <w:numPr>
                <w:ilvl w:val="0"/>
                <w:numId w:val="12"/>
              </w:numPr>
              <w:spacing w:before="120" w:after="120"/>
              <w:ind w:left="242" w:hanging="242"/>
              <w:rPr>
                <w:color w:val="000000"/>
                <w:sz w:val="16"/>
                <w:szCs w:val="16"/>
              </w:rPr>
            </w:pPr>
            <w:proofErr w:type="spellStart"/>
            <w:r>
              <w:rPr>
                <w:color w:val="000000"/>
                <w:sz w:val="16"/>
                <w:szCs w:val="16"/>
              </w:rPr>
              <w:t>Quecksilber</w:t>
            </w:r>
            <w:proofErr w:type="spellEnd"/>
            <w:r>
              <w:rPr>
                <w:color w:val="000000"/>
                <w:sz w:val="16"/>
                <w:szCs w:val="16"/>
              </w:rPr>
              <w:t xml:space="preserve"> 0,0005% (5 ppm)</w:t>
            </w:r>
          </w:p>
          <w:p w14:paraId="5F20A326" w14:textId="77777777" w:rsidR="00DC0DF7" w:rsidRPr="0016190B" w:rsidRDefault="00DC0DF7" w:rsidP="00C5606C">
            <w:pPr>
              <w:keepNext/>
              <w:keepLines/>
              <w:numPr>
                <w:ilvl w:val="0"/>
                <w:numId w:val="12"/>
              </w:numPr>
              <w:spacing w:before="120" w:after="120"/>
              <w:ind w:left="242" w:hanging="242"/>
              <w:rPr>
                <w:color w:val="000000"/>
                <w:sz w:val="16"/>
                <w:szCs w:val="16"/>
              </w:rPr>
            </w:pPr>
            <w:r>
              <w:rPr>
                <w:color w:val="000000"/>
                <w:sz w:val="16"/>
                <w:szCs w:val="16"/>
              </w:rPr>
              <w:t>Cadmium 0,002% (20 ppm)</w:t>
            </w:r>
          </w:p>
          <w:p w14:paraId="021FC2F3" w14:textId="77777777" w:rsidR="00DC0DF7" w:rsidRPr="0016190B" w:rsidRDefault="00DC0DF7" w:rsidP="00C5606C">
            <w:pPr>
              <w:keepNext/>
              <w:keepLines/>
              <w:numPr>
                <w:ilvl w:val="0"/>
                <w:numId w:val="12"/>
              </w:numPr>
              <w:spacing w:before="120" w:after="120"/>
              <w:ind w:left="242" w:hanging="242"/>
              <w:rPr>
                <w:color w:val="000000"/>
                <w:sz w:val="16"/>
                <w:szCs w:val="16"/>
              </w:rPr>
            </w:pPr>
            <w:proofErr w:type="spellStart"/>
            <w:r>
              <w:rPr>
                <w:color w:val="000000"/>
                <w:sz w:val="16"/>
                <w:szCs w:val="16"/>
              </w:rPr>
              <w:t>Blei</w:t>
            </w:r>
            <w:proofErr w:type="spellEnd"/>
            <w:r>
              <w:rPr>
                <w:color w:val="000000"/>
                <w:sz w:val="16"/>
                <w:szCs w:val="16"/>
              </w:rPr>
              <w:t xml:space="preserve"> - </w:t>
            </w:r>
            <w:proofErr w:type="spellStart"/>
            <w:r>
              <w:rPr>
                <w:color w:val="000000"/>
                <w:sz w:val="16"/>
                <w:szCs w:val="16"/>
              </w:rPr>
              <w:t>hängt</w:t>
            </w:r>
            <w:proofErr w:type="spellEnd"/>
            <w:r>
              <w:rPr>
                <w:color w:val="000000"/>
                <w:sz w:val="16"/>
                <w:szCs w:val="16"/>
              </w:rPr>
              <w:t xml:space="preserve"> </w:t>
            </w:r>
            <w:proofErr w:type="spellStart"/>
            <w:r>
              <w:rPr>
                <w:color w:val="000000"/>
                <w:sz w:val="16"/>
                <w:szCs w:val="16"/>
              </w:rPr>
              <w:t>vom</w:t>
            </w:r>
            <w:proofErr w:type="spellEnd"/>
            <w:r>
              <w:rPr>
                <w:color w:val="000000"/>
                <w:sz w:val="16"/>
                <w:szCs w:val="16"/>
              </w:rPr>
              <w:t xml:space="preserve"> </w:t>
            </w:r>
            <w:proofErr w:type="spellStart"/>
            <w:r>
              <w:rPr>
                <w:color w:val="000000"/>
                <w:sz w:val="16"/>
                <w:szCs w:val="16"/>
              </w:rPr>
              <w:t>Typ</w:t>
            </w:r>
            <w:proofErr w:type="spellEnd"/>
            <w:r>
              <w:rPr>
                <w:color w:val="000000"/>
                <w:sz w:val="16"/>
                <w:szCs w:val="16"/>
              </w:rPr>
              <w:t xml:space="preserve"> ab</w:t>
            </w:r>
          </w:p>
          <w:p w14:paraId="01C37325" w14:textId="17868519" w:rsidR="00DC0DF7" w:rsidRPr="002621A3" w:rsidRDefault="00DC0DF7" w:rsidP="00DC0DF7">
            <w:pPr>
              <w:tabs>
                <w:tab w:val="left" w:pos="5238"/>
              </w:tabs>
              <w:spacing w:before="120" w:after="120"/>
              <w:rPr>
                <w:color w:val="000000" w:themeColor="text1"/>
                <w:sz w:val="16"/>
              </w:rPr>
            </w:pPr>
            <w:r w:rsidRPr="004E46E3">
              <w:rPr>
                <w:color w:val="000000"/>
                <w:sz w:val="16"/>
                <w:szCs w:val="16"/>
                <w:lang w:val="de-DE"/>
              </w:rPr>
              <w:t>*Siehe Schlüsselreferenzen für die Batterie</w:t>
            </w:r>
            <w:r w:rsidRPr="004E46E3">
              <w:rPr>
                <w:color w:val="000000"/>
                <w:sz w:val="16"/>
                <w:szCs w:val="16"/>
                <w:lang w:val="de-DE"/>
              </w:rPr>
              <w:noBreakHyphen/>
              <w:t>/Akkukennzeichnung und Kriterien zur Einschränkung je nach Batterie-/Akkutyp.</w:t>
            </w:r>
          </w:p>
        </w:tc>
        <w:tc>
          <w:tcPr>
            <w:tcW w:w="2425" w:type="dxa"/>
          </w:tcPr>
          <w:p w14:paraId="01C37326" w14:textId="1EACD8FE" w:rsidR="00DC0DF7" w:rsidRPr="002A6DFD" w:rsidRDefault="00DC0DF7" w:rsidP="00DC0DF7">
            <w:pPr>
              <w:keepNext/>
              <w:keepLines/>
              <w:spacing w:before="120" w:after="120"/>
              <w:rPr>
                <w:color w:val="000000" w:themeColor="text1"/>
                <w:sz w:val="16"/>
                <w:szCs w:val="16"/>
              </w:rPr>
            </w:pPr>
            <w:r w:rsidRPr="004E46E3">
              <w:rPr>
                <w:color w:val="000000"/>
                <w:sz w:val="16"/>
                <w:lang w:val="de-DE"/>
              </w:rPr>
              <w:t xml:space="preserve">EG – </w:t>
            </w:r>
            <w:r w:rsidRPr="004E46E3">
              <w:rPr>
                <w:color w:val="000000"/>
                <w:sz w:val="16"/>
                <w:szCs w:val="16"/>
                <w:lang w:val="de-DE"/>
              </w:rPr>
              <w:t>Richtlinie 2006/66/EG und Ergänzungen</w:t>
            </w:r>
          </w:p>
        </w:tc>
      </w:tr>
      <w:tr w:rsidR="00DC0DF7" w:rsidRPr="00CA64FE" w14:paraId="01C3732D"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328" w14:textId="60A8702D" w:rsidR="00DC0DF7" w:rsidRPr="00CA64FE" w:rsidRDefault="00DC0DF7" w:rsidP="00DC0DF7">
            <w:pPr>
              <w:keepNext/>
              <w:keepLines/>
              <w:spacing w:before="120" w:after="120"/>
              <w:rPr>
                <w:color w:val="000000" w:themeColor="text1"/>
                <w:sz w:val="16"/>
                <w:szCs w:val="16"/>
              </w:rPr>
            </w:pPr>
            <w:proofErr w:type="spellStart"/>
            <w:r>
              <w:rPr>
                <w:color w:val="000000"/>
                <w:sz w:val="16"/>
                <w:szCs w:val="16"/>
              </w:rPr>
              <w:lastRenderedPageBreak/>
              <w:t>Schwermetalle</w:t>
            </w:r>
            <w:proofErr w:type="spellEnd"/>
            <w:r>
              <w:rPr>
                <w:color w:val="000000"/>
                <w:sz w:val="16"/>
                <w:szCs w:val="16"/>
              </w:rPr>
              <w:t xml:space="preserve"> in </w:t>
            </w:r>
            <w:proofErr w:type="spellStart"/>
            <w:r>
              <w:rPr>
                <w:color w:val="000000"/>
                <w:sz w:val="16"/>
                <w:szCs w:val="16"/>
              </w:rPr>
              <w:t>Verpackungsmaterialien</w:t>
            </w:r>
            <w:proofErr w:type="spellEnd"/>
          </w:p>
        </w:tc>
        <w:tc>
          <w:tcPr>
            <w:tcW w:w="1094" w:type="dxa"/>
          </w:tcPr>
          <w:p w14:paraId="01C37329" w14:textId="2BA3493A" w:rsidR="00DC0DF7" w:rsidRPr="00CA64FE"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6AB239A9" w14:textId="77777777" w:rsidR="00DC0DF7" w:rsidRPr="004E46E3" w:rsidRDefault="00DC0DF7" w:rsidP="00DC0DF7">
            <w:pPr>
              <w:tabs>
                <w:tab w:val="left" w:pos="5238"/>
              </w:tabs>
              <w:spacing w:before="120" w:after="120"/>
              <w:rPr>
                <w:sz w:val="16"/>
                <w:lang w:val="de-DE"/>
              </w:rPr>
            </w:pPr>
            <w:r w:rsidRPr="004E46E3">
              <w:rPr>
                <w:sz w:val="16"/>
                <w:lang w:val="de-DE"/>
              </w:rPr>
              <w:t>Schwermetalle in Verpackungsmaterialien dürfen die folgenden Werte nicht überschreiten:</w:t>
            </w:r>
          </w:p>
          <w:p w14:paraId="01C3732B" w14:textId="525AF890" w:rsidR="00DC0DF7" w:rsidRPr="007046A2" w:rsidRDefault="00DC0DF7" w:rsidP="00DC0DF7">
            <w:pPr>
              <w:spacing w:before="120" w:after="120"/>
              <w:ind w:left="240"/>
              <w:rPr>
                <w:sz w:val="16"/>
              </w:rPr>
            </w:pPr>
            <w:r w:rsidRPr="004E46E3">
              <w:rPr>
                <w:sz w:val="16"/>
                <w:lang w:val="de-DE"/>
              </w:rPr>
              <w:t>Die Summe der Konzentrationen von anfallenden Blei, Quecksilber, Cadmium und sechswertiges Chrom größer als 0,01 Gewichts-% (100 ppm) der Verpackung ist.</w:t>
            </w:r>
          </w:p>
        </w:tc>
        <w:tc>
          <w:tcPr>
            <w:tcW w:w="2425" w:type="dxa"/>
          </w:tcPr>
          <w:p w14:paraId="01C3732C" w14:textId="6CF1BD66" w:rsidR="00DC0DF7" w:rsidRPr="0038743A" w:rsidRDefault="00DC0DF7" w:rsidP="00DC0DF7">
            <w:pPr>
              <w:keepNext/>
              <w:keepLines/>
              <w:spacing w:before="120" w:after="120"/>
              <w:rPr>
                <w:color w:val="000000" w:themeColor="text1"/>
                <w:sz w:val="16"/>
                <w:szCs w:val="16"/>
              </w:rPr>
            </w:pPr>
            <w:r w:rsidRPr="004E46E3">
              <w:rPr>
                <w:color w:val="000000"/>
                <w:sz w:val="16"/>
                <w:szCs w:val="16"/>
                <w:lang w:val="de-DE"/>
              </w:rPr>
              <w:t>EG – Richtlinie 94/62/EG und Ergänzungen</w:t>
            </w:r>
          </w:p>
        </w:tc>
      </w:tr>
      <w:tr w:rsidR="00DC0DF7" w:rsidRPr="0048782E" w14:paraId="01C37334"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32E" w14:textId="0E9EC0F5" w:rsidR="00DC0DF7" w:rsidRPr="0048782E" w:rsidRDefault="00DC0DF7" w:rsidP="00DC0DF7">
            <w:pPr>
              <w:keepNext/>
              <w:keepLines/>
              <w:spacing w:before="120" w:after="120"/>
              <w:rPr>
                <w:color w:val="000000" w:themeColor="text1"/>
                <w:sz w:val="16"/>
                <w:szCs w:val="16"/>
              </w:rPr>
            </w:pPr>
            <w:proofErr w:type="spellStart"/>
            <w:r>
              <w:rPr>
                <w:color w:val="000000"/>
                <w:sz w:val="16"/>
                <w:szCs w:val="16"/>
              </w:rPr>
              <w:t>Hexachlorethan</w:t>
            </w:r>
            <w:proofErr w:type="spellEnd"/>
          </w:p>
        </w:tc>
        <w:tc>
          <w:tcPr>
            <w:tcW w:w="1094" w:type="dxa"/>
          </w:tcPr>
          <w:p w14:paraId="01C3732F" w14:textId="3FFFC4AF" w:rsidR="00DC0DF7" w:rsidRPr="0048782E" w:rsidRDefault="00DC0DF7" w:rsidP="00DC0DF7">
            <w:pPr>
              <w:keepNext/>
              <w:keepLines/>
              <w:spacing w:before="120" w:after="120"/>
              <w:jc w:val="center"/>
              <w:rPr>
                <w:color w:val="000000" w:themeColor="text1"/>
                <w:sz w:val="16"/>
                <w:szCs w:val="16"/>
              </w:rPr>
            </w:pPr>
            <w:r>
              <w:rPr>
                <w:color w:val="000000"/>
                <w:sz w:val="16"/>
                <w:szCs w:val="16"/>
              </w:rPr>
              <w:t>67-72-1</w:t>
            </w:r>
          </w:p>
        </w:tc>
        <w:tc>
          <w:tcPr>
            <w:tcW w:w="3959" w:type="dxa"/>
          </w:tcPr>
          <w:p w14:paraId="01C37330" w14:textId="1432845B" w:rsidR="00DC0DF7" w:rsidRPr="0048782E" w:rsidRDefault="00DC0DF7" w:rsidP="00DC0DF7">
            <w:pPr>
              <w:keepNext/>
              <w:keepLines/>
              <w:spacing w:before="120" w:after="120"/>
              <w:rPr>
                <w:color w:val="000000" w:themeColor="text1"/>
                <w:sz w:val="16"/>
                <w:szCs w:val="16"/>
              </w:rPr>
            </w:pPr>
            <w:r w:rsidRPr="004E46E3">
              <w:rPr>
                <w:color w:val="000000"/>
                <w:sz w:val="16"/>
                <w:szCs w:val="16"/>
                <w:lang w:val="de-DE"/>
              </w:rPr>
              <w:t>Verwendung in der Herstellung oder Verarbeitung von Nichteisenmetallen.</w:t>
            </w:r>
          </w:p>
        </w:tc>
        <w:tc>
          <w:tcPr>
            <w:tcW w:w="2425" w:type="dxa"/>
          </w:tcPr>
          <w:p w14:paraId="0137E890" w14:textId="77777777" w:rsidR="00DC0DF7" w:rsidRPr="00C175FC" w:rsidRDefault="00DC0DF7" w:rsidP="00DC0DF7">
            <w:pPr>
              <w:pStyle w:val="sBullet"/>
              <w:numPr>
                <w:ilvl w:val="0"/>
                <w:numId w:val="0"/>
              </w:numPr>
              <w:spacing w:before="120" w:after="120"/>
              <w:contextualSpacing w:val="0"/>
            </w:pPr>
            <w:r>
              <w:t xml:space="preserve">EG – </w:t>
            </w:r>
            <w:proofErr w:type="spellStart"/>
            <w:r>
              <w:t>Richtlinie</w:t>
            </w:r>
            <w:proofErr w:type="spellEnd"/>
            <w:r>
              <w:t xml:space="preserve"> 2001/91/EG und </w:t>
            </w:r>
            <w:proofErr w:type="spellStart"/>
            <w:r>
              <w:t>Ergänzungen</w:t>
            </w:r>
            <w:proofErr w:type="spellEnd"/>
            <w:r>
              <w:t xml:space="preserve">, </w:t>
            </w:r>
            <w:proofErr w:type="spellStart"/>
            <w:r>
              <w:t>Verordnung</w:t>
            </w:r>
            <w:proofErr w:type="spellEnd"/>
            <w:r>
              <w:t xml:space="preserve"> 1907/2006/EG und </w:t>
            </w:r>
            <w:proofErr w:type="spellStart"/>
            <w:r>
              <w:t>Ergänzungen</w:t>
            </w:r>
            <w:proofErr w:type="spellEnd"/>
          </w:p>
          <w:p w14:paraId="58E19B7A" w14:textId="77777777" w:rsidR="00DC0DF7" w:rsidRPr="00C175FC" w:rsidRDefault="00DC0DF7" w:rsidP="00DC0DF7">
            <w:pPr>
              <w:pStyle w:val="sBullet"/>
              <w:numPr>
                <w:ilvl w:val="0"/>
                <w:numId w:val="0"/>
              </w:numPr>
              <w:spacing w:before="120" w:after="120"/>
              <w:contextualSpacing w:val="0"/>
            </w:pPr>
            <w:r>
              <w:t xml:space="preserve">Schweiz – </w:t>
            </w:r>
            <w:proofErr w:type="spellStart"/>
            <w:r>
              <w:t>Chemikalien-Risikoreduktions-Verordnung</w:t>
            </w:r>
            <w:proofErr w:type="spellEnd"/>
            <w:r>
              <w:t xml:space="preserve"> (</w:t>
            </w:r>
            <w:proofErr w:type="spellStart"/>
            <w:r>
              <w:t>ChemRRV</w:t>
            </w:r>
            <w:proofErr w:type="spellEnd"/>
            <w:r>
              <w:t>)</w:t>
            </w:r>
          </w:p>
          <w:p w14:paraId="01C37333" w14:textId="621675E1" w:rsidR="00DC0DF7" w:rsidRPr="0048782E" w:rsidRDefault="00DC0DF7" w:rsidP="00DC0DF7">
            <w:pPr>
              <w:pStyle w:val="sBullet"/>
              <w:numPr>
                <w:ilvl w:val="0"/>
                <w:numId w:val="0"/>
              </w:numPr>
              <w:spacing w:before="120" w:after="120"/>
              <w:contextualSpacing w:val="0"/>
            </w:pPr>
            <w:proofErr w:type="spellStart"/>
            <w:r>
              <w:t>Norwegen</w:t>
            </w:r>
            <w:proofErr w:type="spellEnd"/>
            <w:r>
              <w:t xml:space="preserve"> – </w:t>
            </w:r>
            <w:proofErr w:type="spellStart"/>
            <w:r>
              <w:t>Norwegische</w:t>
            </w:r>
            <w:proofErr w:type="spellEnd"/>
            <w:r>
              <w:t xml:space="preserve"> </w:t>
            </w:r>
            <w:proofErr w:type="spellStart"/>
            <w:r>
              <w:t>Produktkontrollverordnung</w:t>
            </w:r>
            <w:proofErr w:type="spellEnd"/>
            <w:r>
              <w:t xml:space="preserve"> </w:t>
            </w:r>
            <w:proofErr w:type="spellStart"/>
            <w:r>
              <w:t>Abschnitt</w:t>
            </w:r>
            <w:proofErr w:type="spellEnd"/>
            <w:r>
              <w:t xml:space="preserve"> 2. </w:t>
            </w:r>
            <w:proofErr w:type="spellStart"/>
            <w:r>
              <w:t>Eingeschränkte</w:t>
            </w:r>
            <w:proofErr w:type="spellEnd"/>
            <w:r>
              <w:t xml:space="preserve"> </w:t>
            </w:r>
            <w:proofErr w:type="spellStart"/>
            <w:r>
              <w:t>Stoffe</w:t>
            </w:r>
            <w:proofErr w:type="spellEnd"/>
            <w:r>
              <w:t xml:space="preserve"> und </w:t>
            </w:r>
            <w:proofErr w:type="spellStart"/>
            <w:r>
              <w:t>Zubereitungen</w:t>
            </w:r>
            <w:proofErr w:type="spellEnd"/>
            <w:r>
              <w:t>.</w:t>
            </w:r>
          </w:p>
        </w:tc>
      </w:tr>
      <w:tr w:rsidR="00DC0DF7" w:rsidRPr="002A6DFD" w14:paraId="01C3733D" w14:textId="77777777" w:rsidTr="00A37697">
        <w:trPr>
          <w:gridBefore w:val="1"/>
          <w:wBefore w:w="9" w:type="dxa"/>
          <w:cantSplit/>
        </w:trPr>
        <w:tc>
          <w:tcPr>
            <w:tcW w:w="2055" w:type="dxa"/>
          </w:tcPr>
          <w:p w14:paraId="4AA18664"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t>Bleikarbon, Bleisulfat</w:t>
            </w:r>
          </w:p>
          <w:p w14:paraId="01C37336" w14:textId="31AD7F73" w:rsidR="00DC0DF7" w:rsidRPr="002A6DFD" w:rsidRDefault="00DC0DF7" w:rsidP="00DC0DF7">
            <w:pPr>
              <w:keepNext/>
              <w:keepLines/>
              <w:spacing w:before="120" w:after="120"/>
              <w:rPr>
                <w:color w:val="000000" w:themeColor="text1"/>
                <w:sz w:val="16"/>
                <w:szCs w:val="16"/>
              </w:rPr>
            </w:pPr>
            <w:r w:rsidRPr="004E46E3">
              <w:rPr>
                <w:color w:val="000000"/>
                <w:sz w:val="16"/>
                <w:szCs w:val="16"/>
                <w:lang w:val="de-DE"/>
              </w:rPr>
              <w:t>Blei und Bleiverbindungen in thermoplastischen und duroplastischen Beschichtungen.</w:t>
            </w:r>
          </w:p>
        </w:tc>
        <w:tc>
          <w:tcPr>
            <w:tcW w:w="1094" w:type="dxa"/>
          </w:tcPr>
          <w:p w14:paraId="01C37337" w14:textId="41660286" w:rsidR="00DC0DF7" w:rsidRPr="002A6DFD"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00758290" w14:textId="77777777" w:rsidR="00DC0DF7" w:rsidRPr="00C175FC" w:rsidRDefault="00DC0DF7" w:rsidP="00DC0DF7">
            <w:pPr>
              <w:pStyle w:val="sBullet"/>
              <w:numPr>
                <w:ilvl w:val="0"/>
                <w:numId w:val="0"/>
              </w:numPr>
              <w:spacing w:before="120" w:after="120"/>
              <w:contextualSpacing w:val="0"/>
            </w:pPr>
            <w:proofErr w:type="spellStart"/>
            <w:r>
              <w:t>Darf</w:t>
            </w:r>
            <w:proofErr w:type="spellEnd"/>
            <w:r>
              <w:t xml:space="preserve"> </w:t>
            </w:r>
            <w:proofErr w:type="spellStart"/>
            <w:r>
              <w:t>nicht</w:t>
            </w:r>
            <w:proofErr w:type="spellEnd"/>
            <w:r>
              <w:t xml:space="preserve"> in </w:t>
            </w:r>
            <w:proofErr w:type="spellStart"/>
            <w:r>
              <w:t>Anstrichen</w:t>
            </w:r>
            <w:proofErr w:type="spellEnd"/>
            <w:r>
              <w:t xml:space="preserve"> </w:t>
            </w:r>
            <w:proofErr w:type="spellStart"/>
            <w:r>
              <w:t>verwendet</w:t>
            </w:r>
            <w:proofErr w:type="spellEnd"/>
            <w:r>
              <w:t xml:space="preserve"> </w:t>
            </w:r>
            <w:proofErr w:type="spellStart"/>
            <w:r>
              <w:t>werden</w:t>
            </w:r>
            <w:proofErr w:type="spellEnd"/>
            <w:r>
              <w:t>.</w:t>
            </w:r>
          </w:p>
          <w:p w14:paraId="371E6DB6" w14:textId="77777777" w:rsidR="00DC0DF7" w:rsidRPr="00C175FC" w:rsidRDefault="00DC0DF7" w:rsidP="00DC0DF7">
            <w:pPr>
              <w:pStyle w:val="sBullet"/>
              <w:numPr>
                <w:ilvl w:val="0"/>
                <w:numId w:val="0"/>
              </w:numPr>
              <w:contextualSpacing w:val="0"/>
            </w:pPr>
          </w:p>
          <w:p w14:paraId="01C3733A" w14:textId="2563A237" w:rsidR="00DC0DF7" w:rsidRPr="002A6DFD" w:rsidRDefault="00DC0DF7" w:rsidP="00DC0DF7">
            <w:pPr>
              <w:pStyle w:val="sBullet"/>
              <w:numPr>
                <w:ilvl w:val="0"/>
                <w:numId w:val="0"/>
              </w:numPr>
              <w:spacing w:after="120"/>
              <w:contextualSpacing w:val="0"/>
            </w:pPr>
            <w:proofErr w:type="spellStart"/>
            <w:r>
              <w:t>Nicht</w:t>
            </w:r>
            <w:proofErr w:type="spellEnd"/>
            <w:r>
              <w:t xml:space="preserve"> </w:t>
            </w:r>
            <w:proofErr w:type="spellStart"/>
            <w:r>
              <w:t>mehr</w:t>
            </w:r>
            <w:proofErr w:type="spellEnd"/>
            <w:r>
              <w:t xml:space="preserve"> </w:t>
            </w:r>
            <w:proofErr w:type="spellStart"/>
            <w:r>
              <w:t>als</w:t>
            </w:r>
            <w:proofErr w:type="spellEnd"/>
            <w:r>
              <w:t xml:space="preserve"> 0,03% (300 ppm) in der </w:t>
            </w:r>
            <w:proofErr w:type="spellStart"/>
            <w:r>
              <w:t>Beschichtung</w:t>
            </w:r>
            <w:proofErr w:type="spellEnd"/>
            <w:r>
              <w:t xml:space="preserve"> von </w:t>
            </w:r>
            <w:proofErr w:type="spellStart"/>
            <w:r>
              <w:t>Kabeln</w:t>
            </w:r>
            <w:proofErr w:type="spellEnd"/>
            <w:r>
              <w:t xml:space="preserve"> und </w:t>
            </w:r>
            <w:proofErr w:type="spellStart"/>
            <w:r>
              <w:t>Leitungen</w:t>
            </w:r>
            <w:proofErr w:type="spellEnd"/>
            <w:r>
              <w:t>.</w:t>
            </w:r>
          </w:p>
        </w:tc>
        <w:tc>
          <w:tcPr>
            <w:tcW w:w="2432" w:type="dxa"/>
            <w:gridSpan w:val="2"/>
          </w:tcPr>
          <w:p w14:paraId="588D140F"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1907/2006/EG </w:t>
            </w:r>
            <w:proofErr w:type="spellStart"/>
            <w:r>
              <w:t>Anhang</w:t>
            </w:r>
            <w:proofErr w:type="spellEnd"/>
            <w:r>
              <w:t xml:space="preserve"> 11 und </w:t>
            </w:r>
            <w:proofErr w:type="spellStart"/>
            <w:r>
              <w:t>Ergänzungen</w:t>
            </w:r>
            <w:proofErr w:type="spellEnd"/>
            <w:r>
              <w:t xml:space="preserve"> </w:t>
            </w:r>
          </w:p>
          <w:p w14:paraId="01C3733C" w14:textId="3747636F" w:rsidR="00DC0DF7" w:rsidRPr="002A6DFD" w:rsidRDefault="00DC0DF7" w:rsidP="00DC0DF7">
            <w:pPr>
              <w:pStyle w:val="sBullet"/>
              <w:numPr>
                <w:ilvl w:val="0"/>
                <w:numId w:val="0"/>
              </w:numPr>
              <w:spacing w:before="120" w:after="120"/>
              <w:contextualSpacing w:val="0"/>
            </w:pPr>
            <w:r>
              <w:t>USA- CA Proposition 65</w:t>
            </w:r>
          </w:p>
        </w:tc>
      </w:tr>
      <w:tr w:rsidR="00DC0DF7" w:rsidRPr="00CA64FE" w14:paraId="01C37348"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4B805902" w14:textId="77777777" w:rsidR="00DC0DF7" w:rsidRPr="00E95B3A" w:rsidRDefault="00DC0DF7" w:rsidP="00DC0DF7">
            <w:pPr>
              <w:keepNext/>
              <w:keepLines/>
              <w:spacing w:before="120" w:after="120"/>
              <w:rPr>
                <w:color w:val="000000"/>
                <w:sz w:val="16"/>
                <w:szCs w:val="16"/>
              </w:rPr>
            </w:pPr>
            <w:r>
              <w:rPr>
                <w:color w:val="000000"/>
                <w:sz w:val="16"/>
                <w:szCs w:val="16"/>
              </w:rPr>
              <w:t>Monomethyl-</w:t>
            </w:r>
            <w:proofErr w:type="spellStart"/>
            <w:r>
              <w:rPr>
                <w:color w:val="000000"/>
                <w:sz w:val="16"/>
                <w:szCs w:val="16"/>
              </w:rPr>
              <w:t>Tetrachloro</w:t>
            </w:r>
            <w:proofErr w:type="spellEnd"/>
            <w:r>
              <w:rPr>
                <w:color w:val="000000"/>
                <w:sz w:val="16"/>
                <w:szCs w:val="16"/>
              </w:rPr>
              <w:t xml:space="preserve">-Diphenyl </w:t>
            </w:r>
            <w:proofErr w:type="spellStart"/>
            <w:r>
              <w:rPr>
                <w:color w:val="000000"/>
                <w:sz w:val="16"/>
                <w:szCs w:val="16"/>
              </w:rPr>
              <w:t>Methan</w:t>
            </w:r>
            <w:proofErr w:type="spellEnd"/>
            <w:r>
              <w:rPr>
                <w:color w:val="000000"/>
                <w:sz w:val="16"/>
                <w:szCs w:val="16"/>
              </w:rPr>
              <w:t xml:space="preserve"> (</w:t>
            </w:r>
            <w:proofErr w:type="spellStart"/>
            <w:r>
              <w:rPr>
                <w:color w:val="000000"/>
                <w:sz w:val="16"/>
                <w:szCs w:val="16"/>
              </w:rPr>
              <w:t>Ugilec</w:t>
            </w:r>
            <w:proofErr w:type="spellEnd"/>
            <w:r>
              <w:rPr>
                <w:color w:val="000000"/>
                <w:sz w:val="16"/>
                <w:szCs w:val="16"/>
              </w:rPr>
              <w:t xml:space="preserve"> 141)  </w:t>
            </w:r>
          </w:p>
          <w:p w14:paraId="15E38EAD" w14:textId="77777777" w:rsidR="00DC0DF7" w:rsidRPr="00E95B3A" w:rsidRDefault="00DC0DF7" w:rsidP="00DC0DF7">
            <w:pPr>
              <w:keepNext/>
              <w:keepLines/>
              <w:spacing w:before="120" w:after="120"/>
              <w:rPr>
                <w:color w:val="000000"/>
                <w:sz w:val="16"/>
                <w:szCs w:val="16"/>
              </w:rPr>
            </w:pPr>
            <w:r>
              <w:rPr>
                <w:color w:val="000000"/>
                <w:sz w:val="16"/>
                <w:szCs w:val="16"/>
              </w:rPr>
              <w:t xml:space="preserve">Monomethyl-Dichloro-Diphenyl </w:t>
            </w:r>
            <w:proofErr w:type="spellStart"/>
            <w:r>
              <w:rPr>
                <w:color w:val="000000"/>
                <w:sz w:val="16"/>
                <w:szCs w:val="16"/>
              </w:rPr>
              <w:t>Methan</w:t>
            </w:r>
            <w:proofErr w:type="spellEnd"/>
            <w:r>
              <w:rPr>
                <w:color w:val="000000"/>
                <w:sz w:val="16"/>
                <w:szCs w:val="16"/>
              </w:rPr>
              <w:t xml:space="preserve"> (</w:t>
            </w:r>
            <w:proofErr w:type="spellStart"/>
            <w:r>
              <w:rPr>
                <w:color w:val="000000"/>
                <w:sz w:val="16"/>
                <w:szCs w:val="16"/>
              </w:rPr>
              <w:t>Ugilec</w:t>
            </w:r>
            <w:proofErr w:type="spellEnd"/>
            <w:r>
              <w:rPr>
                <w:color w:val="000000"/>
                <w:sz w:val="16"/>
                <w:szCs w:val="16"/>
              </w:rPr>
              <w:t xml:space="preserve"> 121 / 21) </w:t>
            </w:r>
          </w:p>
          <w:p w14:paraId="01C37340" w14:textId="55E53A5E" w:rsidR="00DC0DF7" w:rsidRPr="00C92675" w:rsidRDefault="00DC0DF7" w:rsidP="00DC0DF7">
            <w:pPr>
              <w:keepNext/>
              <w:keepLines/>
              <w:spacing w:before="120" w:after="120"/>
              <w:rPr>
                <w:color w:val="000000" w:themeColor="text1"/>
                <w:sz w:val="16"/>
                <w:szCs w:val="16"/>
              </w:rPr>
            </w:pPr>
            <w:r>
              <w:rPr>
                <w:color w:val="000000"/>
                <w:sz w:val="16"/>
                <w:szCs w:val="16"/>
              </w:rPr>
              <w:t xml:space="preserve">Monomethyl-Dibromo-Diphenyl </w:t>
            </w:r>
            <w:proofErr w:type="spellStart"/>
            <w:r>
              <w:rPr>
                <w:color w:val="000000"/>
                <w:sz w:val="16"/>
                <w:szCs w:val="16"/>
              </w:rPr>
              <w:t>Methan</w:t>
            </w:r>
            <w:proofErr w:type="spellEnd"/>
            <w:r>
              <w:rPr>
                <w:color w:val="000000"/>
                <w:sz w:val="16"/>
                <w:szCs w:val="16"/>
              </w:rPr>
              <w:t xml:space="preserve"> (DBBT)</w:t>
            </w:r>
          </w:p>
        </w:tc>
        <w:tc>
          <w:tcPr>
            <w:tcW w:w="1094" w:type="dxa"/>
          </w:tcPr>
          <w:p w14:paraId="69AED123" w14:textId="77777777" w:rsidR="00DC0DF7" w:rsidRPr="00D0185A" w:rsidRDefault="00DC0DF7" w:rsidP="00DC0DF7">
            <w:pPr>
              <w:keepNext/>
              <w:keepLines/>
              <w:spacing w:before="120" w:after="120"/>
              <w:rPr>
                <w:color w:val="000000"/>
                <w:sz w:val="16"/>
                <w:szCs w:val="16"/>
              </w:rPr>
            </w:pPr>
            <w:r>
              <w:rPr>
                <w:color w:val="000000"/>
                <w:sz w:val="16"/>
                <w:szCs w:val="16"/>
              </w:rPr>
              <w:t>76253-60-6</w:t>
            </w:r>
          </w:p>
          <w:p w14:paraId="729A0E2B" w14:textId="77777777" w:rsidR="00DC0DF7" w:rsidRPr="00D0185A" w:rsidRDefault="00DC0DF7" w:rsidP="00DC0DF7">
            <w:pPr>
              <w:keepNext/>
              <w:keepLines/>
              <w:spacing w:before="120" w:after="120"/>
              <w:rPr>
                <w:color w:val="000000"/>
                <w:sz w:val="16"/>
                <w:szCs w:val="16"/>
              </w:rPr>
            </w:pPr>
          </w:p>
          <w:p w14:paraId="1B1E7B63" w14:textId="77777777" w:rsidR="00DC0DF7" w:rsidRPr="00D0185A" w:rsidRDefault="00DC0DF7" w:rsidP="00DC0DF7">
            <w:pPr>
              <w:keepNext/>
              <w:keepLines/>
              <w:spacing w:before="120" w:after="120"/>
              <w:rPr>
                <w:color w:val="000000"/>
                <w:sz w:val="16"/>
                <w:szCs w:val="16"/>
              </w:rPr>
            </w:pPr>
            <w:r>
              <w:rPr>
                <w:color w:val="000000"/>
                <w:sz w:val="16"/>
                <w:szCs w:val="16"/>
              </w:rPr>
              <w:t>81161-70-8</w:t>
            </w:r>
          </w:p>
          <w:p w14:paraId="7B7050DD" w14:textId="77777777" w:rsidR="00DC0DF7" w:rsidRPr="00D0185A" w:rsidRDefault="00DC0DF7" w:rsidP="00DC0DF7">
            <w:pPr>
              <w:keepNext/>
              <w:keepLines/>
              <w:spacing w:before="120" w:after="120"/>
              <w:jc w:val="center"/>
              <w:rPr>
                <w:color w:val="000000"/>
                <w:sz w:val="16"/>
                <w:szCs w:val="16"/>
              </w:rPr>
            </w:pPr>
          </w:p>
          <w:p w14:paraId="01C37345" w14:textId="1EDB2E91" w:rsidR="00DC0DF7" w:rsidRPr="00CA64FE" w:rsidRDefault="00DC0DF7" w:rsidP="00DC0DF7">
            <w:pPr>
              <w:keepNext/>
              <w:keepLines/>
              <w:spacing w:before="120" w:after="120"/>
              <w:rPr>
                <w:color w:val="000000" w:themeColor="text1"/>
                <w:sz w:val="16"/>
                <w:szCs w:val="16"/>
              </w:rPr>
            </w:pPr>
            <w:r>
              <w:rPr>
                <w:color w:val="000000"/>
                <w:sz w:val="16"/>
                <w:szCs w:val="16"/>
              </w:rPr>
              <w:t>99688-47-8</w:t>
            </w:r>
          </w:p>
        </w:tc>
        <w:tc>
          <w:tcPr>
            <w:tcW w:w="3959" w:type="dxa"/>
          </w:tcPr>
          <w:p w14:paraId="01C37346" w14:textId="6FC7BFE8" w:rsidR="00DC0DF7" w:rsidRPr="0065770F" w:rsidRDefault="00DC0DF7" w:rsidP="00DC0DF7">
            <w:pPr>
              <w:keepNext/>
              <w:keepLines/>
              <w:autoSpaceDE w:val="0"/>
              <w:autoSpaceDN w:val="0"/>
              <w:adjustRightInd w:val="0"/>
              <w:spacing w:before="120" w:after="120"/>
              <w:rPr>
                <w:color w:val="000000" w:themeColor="text1"/>
                <w:sz w:val="16"/>
                <w:szCs w:val="16"/>
              </w:rPr>
            </w:pPr>
            <w:proofErr w:type="spellStart"/>
            <w:r>
              <w:rPr>
                <w:color w:val="000000"/>
                <w:sz w:val="16"/>
                <w:szCs w:val="16"/>
              </w:rPr>
              <w:t>Darf</w:t>
            </w:r>
            <w:proofErr w:type="spellEnd"/>
            <w:r>
              <w:rPr>
                <w:color w:val="000000"/>
                <w:sz w:val="16"/>
                <w:szCs w:val="16"/>
              </w:rPr>
              <w:t xml:space="preserve"> </w:t>
            </w:r>
            <w:proofErr w:type="spellStart"/>
            <w:r>
              <w:rPr>
                <w:color w:val="000000"/>
                <w:sz w:val="16"/>
                <w:szCs w:val="16"/>
              </w:rPr>
              <w:t>nicht</w:t>
            </w:r>
            <w:proofErr w:type="spellEnd"/>
            <w:r>
              <w:rPr>
                <w:color w:val="000000"/>
                <w:sz w:val="16"/>
                <w:szCs w:val="16"/>
              </w:rPr>
              <w:t xml:space="preserve"> </w:t>
            </w:r>
            <w:proofErr w:type="spellStart"/>
            <w:r>
              <w:rPr>
                <w:color w:val="000000"/>
                <w:sz w:val="16"/>
                <w:szCs w:val="16"/>
              </w:rPr>
              <w:t>verwendet</w:t>
            </w:r>
            <w:proofErr w:type="spellEnd"/>
            <w:r>
              <w:rPr>
                <w:color w:val="000000"/>
                <w:sz w:val="16"/>
                <w:szCs w:val="16"/>
              </w:rPr>
              <w:t xml:space="preserve"> </w:t>
            </w:r>
            <w:proofErr w:type="spellStart"/>
            <w:r>
              <w:rPr>
                <w:color w:val="000000"/>
                <w:sz w:val="16"/>
                <w:szCs w:val="16"/>
              </w:rPr>
              <w:t>werden</w:t>
            </w:r>
            <w:proofErr w:type="spellEnd"/>
            <w:r>
              <w:rPr>
                <w:color w:val="000000"/>
                <w:sz w:val="16"/>
                <w:szCs w:val="16"/>
              </w:rPr>
              <w:t xml:space="preserve">. </w:t>
            </w:r>
          </w:p>
        </w:tc>
        <w:tc>
          <w:tcPr>
            <w:tcW w:w="2425" w:type="dxa"/>
          </w:tcPr>
          <w:p w14:paraId="01C37347" w14:textId="4DBA6531" w:rsidR="00DC0DF7" w:rsidRPr="00CA64FE" w:rsidRDefault="00DC0DF7" w:rsidP="00DC0DF7">
            <w:pPr>
              <w:keepNext/>
              <w:keepLines/>
              <w:spacing w:before="120" w:after="120"/>
              <w:rPr>
                <w:color w:val="000000" w:themeColor="text1"/>
                <w:sz w:val="16"/>
                <w:szCs w:val="16"/>
              </w:rPr>
            </w:pPr>
            <w:r w:rsidRPr="004E46E3">
              <w:rPr>
                <w:color w:val="000000"/>
                <w:sz w:val="16"/>
                <w:szCs w:val="16"/>
                <w:lang w:val="de-DE"/>
              </w:rPr>
              <w:t>EG – Verordnung 1907/2006/EG Anhang 11 und Ergänzungen</w:t>
            </w:r>
          </w:p>
        </w:tc>
      </w:tr>
      <w:tr w:rsidR="00DC0DF7" w:rsidRPr="008F266A" w14:paraId="01C3734D"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349" w14:textId="714C4C7F" w:rsidR="00DC0DF7" w:rsidRPr="00E5181A" w:rsidRDefault="00DC0DF7" w:rsidP="00DC0DF7">
            <w:pPr>
              <w:keepNext/>
              <w:keepLines/>
              <w:spacing w:before="120" w:after="120"/>
              <w:rPr>
                <w:color w:val="000000" w:themeColor="text1"/>
                <w:sz w:val="16"/>
                <w:szCs w:val="16"/>
              </w:rPr>
            </w:pPr>
            <w:r>
              <w:rPr>
                <w:color w:val="000000"/>
                <w:sz w:val="16"/>
                <w:szCs w:val="16"/>
              </w:rPr>
              <w:t xml:space="preserve">Nickel und </w:t>
            </w:r>
            <w:proofErr w:type="spellStart"/>
            <w:r>
              <w:rPr>
                <w:color w:val="000000"/>
                <w:sz w:val="16"/>
                <w:szCs w:val="16"/>
              </w:rPr>
              <w:t>Nickelverbindungen</w:t>
            </w:r>
            <w:proofErr w:type="spellEnd"/>
          </w:p>
        </w:tc>
        <w:tc>
          <w:tcPr>
            <w:tcW w:w="1094" w:type="dxa"/>
          </w:tcPr>
          <w:p w14:paraId="01C3734A" w14:textId="308F4D49" w:rsidR="00DC0DF7" w:rsidRPr="00E5181A" w:rsidRDefault="00DC0DF7" w:rsidP="00DC0DF7">
            <w:pPr>
              <w:keepNext/>
              <w:keepLines/>
              <w:spacing w:before="120" w:after="120"/>
              <w:jc w:val="center"/>
              <w:rPr>
                <w:color w:val="000000" w:themeColor="text1"/>
                <w:sz w:val="16"/>
                <w:szCs w:val="16"/>
              </w:rPr>
            </w:pPr>
            <w:r>
              <w:rPr>
                <w:color w:val="000000"/>
                <w:sz w:val="16"/>
                <w:szCs w:val="16"/>
              </w:rPr>
              <w:t xml:space="preserve">7440-02-0 und </w:t>
            </w:r>
            <w:proofErr w:type="spellStart"/>
            <w:r>
              <w:rPr>
                <w:color w:val="000000"/>
                <w:sz w:val="16"/>
                <w:szCs w:val="16"/>
              </w:rPr>
              <w:t>andere</w:t>
            </w:r>
            <w:proofErr w:type="spellEnd"/>
          </w:p>
        </w:tc>
        <w:tc>
          <w:tcPr>
            <w:tcW w:w="3959" w:type="dxa"/>
          </w:tcPr>
          <w:p w14:paraId="01C3734B" w14:textId="55E18297" w:rsidR="00DC0DF7" w:rsidRPr="00E5181A" w:rsidRDefault="00DC0DF7" w:rsidP="00DC0DF7">
            <w:pPr>
              <w:pStyle w:val="sBullet"/>
              <w:numPr>
                <w:ilvl w:val="0"/>
                <w:numId w:val="0"/>
              </w:numPr>
              <w:spacing w:before="120" w:after="120"/>
              <w:contextualSpacing w:val="0"/>
            </w:pPr>
            <w:proofErr w:type="spellStart"/>
            <w:r>
              <w:t>Nickellackierungen</w:t>
            </w:r>
            <w:proofErr w:type="spellEnd"/>
            <w:r>
              <w:t xml:space="preserve">, die </w:t>
            </w:r>
            <w:proofErr w:type="spellStart"/>
            <w:r>
              <w:t>mehr</w:t>
            </w:r>
            <w:proofErr w:type="spellEnd"/>
            <w:r>
              <w:t xml:space="preserve"> </w:t>
            </w:r>
            <w:proofErr w:type="spellStart"/>
            <w:r>
              <w:t>als</w:t>
            </w:r>
            <w:proofErr w:type="spellEnd"/>
            <w:r>
              <w:t xml:space="preserve"> 0,5 µg/cm</w:t>
            </w:r>
            <w:r>
              <w:rPr>
                <w:vertAlign w:val="superscript"/>
              </w:rPr>
              <w:t>2</w:t>
            </w:r>
            <w:r>
              <w:t>/</w:t>
            </w:r>
            <w:proofErr w:type="spellStart"/>
            <w:r>
              <w:t>Woche</w:t>
            </w:r>
            <w:proofErr w:type="spellEnd"/>
            <w:r>
              <w:t xml:space="preserve"> </w:t>
            </w:r>
            <w:proofErr w:type="spellStart"/>
            <w:r>
              <w:t>abgeben</w:t>
            </w:r>
            <w:proofErr w:type="spellEnd"/>
            <w:r>
              <w:t xml:space="preserve">, </w:t>
            </w:r>
            <w:proofErr w:type="spellStart"/>
            <w:r>
              <w:t>dürfen</w:t>
            </w:r>
            <w:proofErr w:type="spellEnd"/>
            <w:r>
              <w:t xml:space="preserve"> </w:t>
            </w:r>
            <w:proofErr w:type="spellStart"/>
            <w:r>
              <w:t>nicht</w:t>
            </w:r>
            <w:proofErr w:type="spellEnd"/>
            <w:r>
              <w:t xml:space="preserve"> auf der </w:t>
            </w:r>
            <w:proofErr w:type="spellStart"/>
            <w:r>
              <w:t>Außenseite</w:t>
            </w:r>
            <w:proofErr w:type="spellEnd"/>
            <w:r>
              <w:t xml:space="preserve"> von </w:t>
            </w:r>
            <w:proofErr w:type="spellStart"/>
            <w:r>
              <w:t>Produkten</w:t>
            </w:r>
            <w:proofErr w:type="spellEnd"/>
            <w:r>
              <w:t xml:space="preserve"> </w:t>
            </w:r>
            <w:proofErr w:type="spellStart"/>
            <w:r>
              <w:t>verwendet</w:t>
            </w:r>
            <w:proofErr w:type="spellEnd"/>
            <w:r>
              <w:t xml:space="preserve"> </w:t>
            </w:r>
            <w:proofErr w:type="spellStart"/>
            <w:r>
              <w:t>werden</w:t>
            </w:r>
            <w:proofErr w:type="spellEnd"/>
            <w:r>
              <w:t xml:space="preserve">, die der </w:t>
            </w:r>
            <w:proofErr w:type="spellStart"/>
            <w:r>
              <w:t>Benutzer</w:t>
            </w:r>
            <w:proofErr w:type="spellEnd"/>
            <w:r>
              <w:t xml:space="preserve"> </w:t>
            </w:r>
            <w:proofErr w:type="spellStart"/>
            <w:r>
              <w:t>häufig</w:t>
            </w:r>
            <w:proofErr w:type="spellEnd"/>
            <w:r>
              <w:t xml:space="preserve"> </w:t>
            </w:r>
            <w:proofErr w:type="spellStart"/>
            <w:r>
              <w:t>anfasst</w:t>
            </w:r>
            <w:proofErr w:type="spellEnd"/>
            <w:r>
              <w:t xml:space="preserve"> </w:t>
            </w:r>
            <w:proofErr w:type="spellStart"/>
            <w:r>
              <w:t>oder</w:t>
            </w:r>
            <w:proofErr w:type="spellEnd"/>
            <w:r>
              <w:t xml:space="preserve"> </w:t>
            </w:r>
            <w:proofErr w:type="spellStart"/>
            <w:r>
              <w:t>mit</w:t>
            </w:r>
            <w:proofErr w:type="spellEnd"/>
            <w:r>
              <w:t xml:space="preserve"> </w:t>
            </w:r>
            <w:proofErr w:type="spellStart"/>
            <w:r>
              <w:t>sich</w:t>
            </w:r>
            <w:proofErr w:type="spellEnd"/>
            <w:r>
              <w:t xml:space="preserve"> </w:t>
            </w:r>
            <w:proofErr w:type="spellStart"/>
            <w:r>
              <w:t>führt</w:t>
            </w:r>
            <w:proofErr w:type="spellEnd"/>
            <w:r>
              <w:t xml:space="preserve"> (</w:t>
            </w:r>
            <w:proofErr w:type="spellStart"/>
            <w:r>
              <w:t>oder</w:t>
            </w:r>
            <w:proofErr w:type="spellEnd"/>
            <w:r>
              <w:t xml:space="preserve"> die in </w:t>
            </w:r>
            <w:proofErr w:type="spellStart"/>
            <w:r>
              <w:t>direktem</w:t>
            </w:r>
            <w:proofErr w:type="spellEnd"/>
            <w:r>
              <w:t xml:space="preserve"> und </w:t>
            </w:r>
            <w:proofErr w:type="spellStart"/>
            <w:r>
              <w:t>anhaltendem</w:t>
            </w:r>
            <w:proofErr w:type="spellEnd"/>
            <w:r>
              <w:t xml:space="preserve"> </w:t>
            </w:r>
            <w:proofErr w:type="spellStart"/>
            <w:r>
              <w:t>Kontakt</w:t>
            </w:r>
            <w:proofErr w:type="spellEnd"/>
            <w:r>
              <w:t xml:space="preserve"> </w:t>
            </w:r>
            <w:proofErr w:type="spellStart"/>
            <w:r>
              <w:t>mit</w:t>
            </w:r>
            <w:proofErr w:type="spellEnd"/>
            <w:r>
              <w:t xml:space="preserve"> der </w:t>
            </w:r>
            <w:proofErr w:type="spellStart"/>
            <w:r>
              <w:t>Haut</w:t>
            </w:r>
            <w:proofErr w:type="spellEnd"/>
            <w:r>
              <w:t xml:space="preserve"> </w:t>
            </w:r>
            <w:proofErr w:type="spellStart"/>
            <w:r>
              <w:t>gelangen</w:t>
            </w:r>
            <w:proofErr w:type="spellEnd"/>
            <w:r>
              <w:t>).</w:t>
            </w:r>
          </w:p>
        </w:tc>
        <w:tc>
          <w:tcPr>
            <w:tcW w:w="2425" w:type="dxa"/>
          </w:tcPr>
          <w:p w14:paraId="01C3734C" w14:textId="25BF705D" w:rsidR="00DC0DF7" w:rsidRPr="0038743A"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1907/2006/EG </w:t>
            </w:r>
            <w:proofErr w:type="spellStart"/>
            <w:r>
              <w:t>Anhang</w:t>
            </w:r>
            <w:proofErr w:type="spellEnd"/>
            <w:r>
              <w:t xml:space="preserve"> 11 und </w:t>
            </w:r>
            <w:proofErr w:type="spellStart"/>
            <w:r>
              <w:t>Ergänzungen</w:t>
            </w:r>
            <w:proofErr w:type="spellEnd"/>
          </w:p>
        </w:tc>
      </w:tr>
      <w:tr w:rsidR="00DC0DF7" w:rsidRPr="008F266A" w14:paraId="01C37356"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34E" w14:textId="2A29250C" w:rsidR="00DC0DF7" w:rsidRPr="00E5181A" w:rsidRDefault="00DC0DF7" w:rsidP="00DC0DF7">
            <w:pPr>
              <w:keepNext/>
              <w:keepLines/>
              <w:spacing w:before="120" w:after="120"/>
              <w:rPr>
                <w:color w:val="000000" w:themeColor="text1"/>
                <w:sz w:val="16"/>
                <w:szCs w:val="16"/>
              </w:rPr>
            </w:pPr>
            <w:proofErr w:type="spellStart"/>
            <w:r>
              <w:rPr>
                <w:color w:val="000000"/>
                <w:sz w:val="16"/>
                <w:szCs w:val="16"/>
              </w:rPr>
              <w:t>Nanomaterialien</w:t>
            </w:r>
            <w:proofErr w:type="spellEnd"/>
          </w:p>
        </w:tc>
        <w:tc>
          <w:tcPr>
            <w:tcW w:w="1094" w:type="dxa"/>
          </w:tcPr>
          <w:p w14:paraId="01C3734F" w14:textId="312E36C3"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3B000EE1" w14:textId="77777777" w:rsidR="00DC0DF7" w:rsidRPr="00C175FC" w:rsidRDefault="00DC0DF7" w:rsidP="00DC0DF7">
            <w:pPr>
              <w:pStyle w:val="sBullet"/>
              <w:numPr>
                <w:ilvl w:val="0"/>
                <w:numId w:val="0"/>
              </w:numPr>
              <w:spacing w:before="120" w:after="120"/>
              <w:contextualSpacing w:val="0"/>
            </w:pPr>
            <w:proofErr w:type="spellStart"/>
            <w:r>
              <w:t>Beabsichtigter</w:t>
            </w:r>
            <w:proofErr w:type="spellEnd"/>
            <w:r>
              <w:t xml:space="preserve"> </w:t>
            </w:r>
            <w:proofErr w:type="spellStart"/>
            <w:r>
              <w:t>Einsatz</w:t>
            </w:r>
            <w:proofErr w:type="spellEnd"/>
            <w:r>
              <w:t xml:space="preserve"> von </w:t>
            </w:r>
            <w:proofErr w:type="spellStart"/>
            <w:r>
              <w:t>Nanomaterialien</w:t>
            </w:r>
            <w:proofErr w:type="spellEnd"/>
            <w:r>
              <w:t xml:space="preserve"> in </w:t>
            </w:r>
            <w:proofErr w:type="spellStart"/>
            <w:r>
              <w:t>Stoffen</w:t>
            </w:r>
            <w:proofErr w:type="spellEnd"/>
            <w:r>
              <w:t xml:space="preserve"> muss </w:t>
            </w:r>
            <w:proofErr w:type="spellStart"/>
            <w:r>
              <w:t>deklariert</w:t>
            </w:r>
            <w:proofErr w:type="spellEnd"/>
            <w:r>
              <w:t xml:space="preserve"> </w:t>
            </w:r>
            <w:proofErr w:type="spellStart"/>
            <w:r>
              <w:t>werden</w:t>
            </w:r>
            <w:proofErr w:type="spellEnd"/>
            <w:r>
              <w:t xml:space="preserve">, und die </w:t>
            </w:r>
            <w:proofErr w:type="spellStart"/>
            <w:r>
              <w:t>folgenden</w:t>
            </w:r>
            <w:proofErr w:type="spellEnd"/>
            <w:r>
              <w:t xml:space="preserve"> </w:t>
            </w:r>
            <w:proofErr w:type="spellStart"/>
            <w:r>
              <w:t>Angaben</w:t>
            </w:r>
            <w:proofErr w:type="spellEnd"/>
            <w:r>
              <w:t xml:space="preserve"> </w:t>
            </w:r>
            <w:proofErr w:type="spellStart"/>
            <w:r>
              <w:t>müssen</w:t>
            </w:r>
            <w:proofErr w:type="spellEnd"/>
            <w:r>
              <w:t xml:space="preserve"> </w:t>
            </w:r>
            <w:proofErr w:type="spellStart"/>
            <w:r>
              <w:t>gemacht</w:t>
            </w:r>
            <w:proofErr w:type="spellEnd"/>
            <w:r>
              <w:t xml:space="preserve"> </w:t>
            </w:r>
            <w:proofErr w:type="spellStart"/>
            <w:r>
              <w:t>werden</w:t>
            </w:r>
            <w:proofErr w:type="spellEnd"/>
            <w:r>
              <w:t>:</w:t>
            </w:r>
          </w:p>
          <w:p w14:paraId="0C479779" w14:textId="77777777" w:rsidR="00DC0DF7" w:rsidRPr="00C175FC" w:rsidRDefault="00DC0DF7" w:rsidP="00DC0DF7">
            <w:pPr>
              <w:pStyle w:val="sBullet"/>
              <w:numPr>
                <w:ilvl w:val="0"/>
                <w:numId w:val="0"/>
              </w:numPr>
              <w:spacing w:before="120" w:after="120"/>
              <w:ind w:left="245"/>
              <w:contextualSpacing w:val="0"/>
            </w:pPr>
            <w:proofErr w:type="spellStart"/>
            <w:r>
              <w:t>Toxizitätsdaten</w:t>
            </w:r>
            <w:proofErr w:type="spellEnd"/>
          </w:p>
          <w:p w14:paraId="318AA63E" w14:textId="77777777" w:rsidR="00DC0DF7" w:rsidRPr="00C175FC" w:rsidRDefault="00DC0DF7" w:rsidP="00DC0DF7">
            <w:pPr>
              <w:pStyle w:val="sBullet"/>
              <w:numPr>
                <w:ilvl w:val="0"/>
                <w:numId w:val="0"/>
              </w:numPr>
              <w:spacing w:before="120" w:after="120"/>
              <w:ind w:left="240"/>
              <w:contextualSpacing w:val="0"/>
            </w:pPr>
            <w:proofErr w:type="spellStart"/>
            <w:r>
              <w:t>Physikalisch-chemische</w:t>
            </w:r>
            <w:proofErr w:type="spellEnd"/>
            <w:r>
              <w:t xml:space="preserve"> </w:t>
            </w:r>
            <w:proofErr w:type="spellStart"/>
            <w:r>
              <w:t>Eigenschaften</w:t>
            </w:r>
            <w:proofErr w:type="spellEnd"/>
          </w:p>
          <w:p w14:paraId="2F187596" w14:textId="77777777" w:rsidR="00DC0DF7" w:rsidRPr="00C175FC" w:rsidRDefault="00DC0DF7" w:rsidP="00DC0DF7">
            <w:pPr>
              <w:pStyle w:val="sBullet"/>
              <w:numPr>
                <w:ilvl w:val="0"/>
                <w:numId w:val="0"/>
              </w:numPr>
              <w:spacing w:before="120" w:after="120"/>
              <w:ind w:left="240"/>
              <w:contextualSpacing w:val="0"/>
            </w:pPr>
            <w:proofErr w:type="spellStart"/>
            <w:r>
              <w:t>Oberflächenform</w:t>
            </w:r>
            <w:proofErr w:type="spellEnd"/>
            <w:r>
              <w:t>, -</w:t>
            </w:r>
            <w:proofErr w:type="spellStart"/>
            <w:r>
              <w:t>dichte</w:t>
            </w:r>
            <w:proofErr w:type="spellEnd"/>
            <w:r>
              <w:t xml:space="preserve"> und -</w:t>
            </w:r>
            <w:proofErr w:type="spellStart"/>
            <w:r>
              <w:t>fläche</w:t>
            </w:r>
            <w:proofErr w:type="spellEnd"/>
          </w:p>
          <w:p w14:paraId="01C37354" w14:textId="5863C5E5" w:rsidR="00DC0DF7" w:rsidRPr="00E5181A" w:rsidRDefault="00DC0DF7" w:rsidP="00C5606C">
            <w:pPr>
              <w:pStyle w:val="sBullet"/>
              <w:numPr>
                <w:ilvl w:val="0"/>
                <w:numId w:val="9"/>
              </w:numPr>
              <w:contextualSpacing w:val="0"/>
            </w:pPr>
            <w:r>
              <w:t xml:space="preserve">Aggregations- und </w:t>
            </w:r>
            <w:proofErr w:type="spellStart"/>
            <w:r>
              <w:t>Agglomerationsneigung</w:t>
            </w:r>
            <w:proofErr w:type="spellEnd"/>
          </w:p>
        </w:tc>
        <w:tc>
          <w:tcPr>
            <w:tcW w:w="2425" w:type="dxa"/>
          </w:tcPr>
          <w:p w14:paraId="01C37355" w14:textId="07789824" w:rsidR="00DC0DF7" w:rsidRPr="00CA64FE" w:rsidRDefault="00DC0DF7" w:rsidP="00DC0DF7">
            <w:pPr>
              <w:keepNext/>
              <w:keepLines/>
              <w:spacing w:before="120" w:after="120"/>
              <w:rPr>
                <w:color w:val="000000" w:themeColor="text1"/>
                <w:sz w:val="16"/>
                <w:szCs w:val="16"/>
              </w:rPr>
            </w:pPr>
            <w:r w:rsidRPr="004E46E3">
              <w:rPr>
                <w:color w:val="000000"/>
                <w:sz w:val="16"/>
                <w:szCs w:val="16"/>
                <w:lang w:val="de-DE"/>
              </w:rPr>
              <w:t>EU – Mitteilung der Kommission an das Europäische Parlament, den Rat und den Europäischen Wirtschafts- und Sozialausschuss, zweite Überprüfung der Rechtsvorschriften zu Nanomaterialien (3.10.2012)</w:t>
            </w:r>
          </w:p>
        </w:tc>
      </w:tr>
      <w:tr w:rsidR="00DC0DF7" w:rsidRPr="0048782E" w14:paraId="01C3735E"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1C37357" w14:textId="6C5D5E14" w:rsidR="00DC0DF7" w:rsidRPr="0048782E" w:rsidRDefault="00DC0DF7" w:rsidP="00DC0DF7">
            <w:pPr>
              <w:keepNext/>
              <w:keepLines/>
              <w:spacing w:before="120" w:after="120"/>
              <w:rPr>
                <w:color w:val="000000" w:themeColor="text1"/>
                <w:sz w:val="16"/>
                <w:szCs w:val="16"/>
              </w:rPr>
            </w:pPr>
            <w:r>
              <w:rPr>
                <w:color w:val="000000"/>
                <w:sz w:val="16"/>
                <w:szCs w:val="16"/>
              </w:rPr>
              <w:lastRenderedPageBreak/>
              <w:t>Nonylphenol (NP) und Nonylphenol Ethoxylate (NPE)</w:t>
            </w:r>
          </w:p>
        </w:tc>
        <w:tc>
          <w:tcPr>
            <w:tcW w:w="1094" w:type="dxa"/>
          </w:tcPr>
          <w:p w14:paraId="01C37358" w14:textId="715E4DBA" w:rsidR="00DC0DF7" w:rsidRPr="0048782E" w:rsidRDefault="00DC0DF7" w:rsidP="00DC0DF7">
            <w:pPr>
              <w:keepNext/>
              <w:keepLines/>
              <w:spacing w:before="120" w:after="120"/>
              <w:jc w:val="center"/>
              <w:rPr>
                <w:color w:val="000000" w:themeColor="text1"/>
                <w:sz w:val="16"/>
                <w:szCs w:val="16"/>
              </w:rPr>
            </w:pPr>
            <w:r>
              <w:rPr>
                <w:color w:val="000000"/>
                <w:sz w:val="16"/>
                <w:szCs w:val="16"/>
              </w:rPr>
              <w:t xml:space="preserve">25154-52-3 und </w:t>
            </w:r>
            <w:proofErr w:type="spellStart"/>
            <w:r>
              <w:rPr>
                <w:color w:val="000000"/>
                <w:sz w:val="16"/>
                <w:szCs w:val="16"/>
              </w:rPr>
              <w:t>andere</w:t>
            </w:r>
            <w:proofErr w:type="spellEnd"/>
          </w:p>
        </w:tc>
        <w:tc>
          <w:tcPr>
            <w:tcW w:w="3959" w:type="dxa"/>
          </w:tcPr>
          <w:p w14:paraId="1B9FBCAE" w14:textId="77777777" w:rsidR="00DC0DF7" w:rsidRPr="00C175FC" w:rsidRDefault="00DC0DF7" w:rsidP="00DC0DF7">
            <w:pPr>
              <w:pStyle w:val="sBullet"/>
              <w:numPr>
                <w:ilvl w:val="0"/>
                <w:numId w:val="0"/>
              </w:numPr>
              <w:spacing w:before="120" w:after="120"/>
              <w:contextualSpacing w:val="0"/>
            </w:pPr>
            <w:r>
              <w:t xml:space="preserve">NPs und NPEs </w:t>
            </w:r>
            <w:proofErr w:type="spellStart"/>
            <w:r>
              <w:t>dürfen</w:t>
            </w:r>
            <w:proofErr w:type="spellEnd"/>
            <w:r>
              <w:t xml:space="preserve"> </w:t>
            </w:r>
            <w:proofErr w:type="spellStart"/>
            <w:r>
              <w:t>nicht</w:t>
            </w:r>
            <w:proofErr w:type="spellEnd"/>
            <w:r>
              <w:t xml:space="preserve"> </w:t>
            </w:r>
            <w:proofErr w:type="spellStart"/>
            <w:r>
              <w:t>als</w:t>
            </w:r>
            <w:proofErr w:type="spellEnd"/>
            <w:r>
              <w:t xml:space="preserve"> Stoff </w:t>
            </w:r>
            <w:proofErr w:type="spellStart"/>
            <w:r>
              <w:t>oder</w:t>
            </w:r>
            <w:proofErr w:type="spellEnd"/>
            <w:r>
              <w:t xml:space="preserve"> </w:t>
            </w:r>
            <w:proofErr w:type="spellStart"/>
            <w:r>
              <w:t>Bestandteil</w:t>
            </w:r>
            <w:proofErr w:type="spellEnd"/>
            <w:r>
              <w:t xml:space="preserve"> in </w:t>
            </w:r>
            <w:proofErr w:type="spellStart"/>
            <w:r>
              <w:t>Zubereitungen</w:t>
            </w:r>
            <w:proofErr w:type="spellEnd"/>
            <w:r>
              <w:t xml:space="preserve"> in </w:t>
            </w:r>
            <w:proofErr w:type="spellStart"/>
            <w:r>
              <w:t>Konzentrationen</w:t>
            </w:r>
            <w:proofErr w:type="spellEnd"/>
            <w:r>
              <w:t xml:space="preserve"> von 0,1 </w:t>
            </w:r>
            <w:proofErr w:type="spellStart"/>
            <w:r>
              <w:t>Gewichts</w:t>
            </w:r>
            <w:proofErr w:type="spellEnd"/>
            <w:r>
              <w:t xml:space="preserve">-% (1000 ppm) </w:t>
            </w:r>
            <w:proofErr w:type="spellStart"/>
            <w:r>
              <w:t>oder</w:t>
            </w:r>
            <w:proofErr w:type="spellEnd"/>
            <w:r>
              <w:t xml:space="preserve"> </w:t>
            </w:r>
            <w:proofErr w:type="spellStart"/>
            <w:r>
              <w:t>höher</w:t>
            </w:r>
            <w:proofErr w:type="spellEnd"/>
            <w:r>
              <w:t xml:space="preserve"> </w:t>
            </w:r>
            <w:proofErr w:type="spellStart"/>
            <w:r>
              <w:t>verwendet</w:t>
            </w:r>
            <w:proofErr w:type="spellEnd"/>
            <w:r>
              <w:t xml:space="preserve"> </w:t>
            </w:r>
            <w:proofErr w:type="spellStart"/>
            <w:r>
              <w:t>werden</w:t>
            </w:r>
            <w:proofErr w:type="spellEnd"/>
            <w:r>
              <w:t xml:space="preserve">. </w:t>
            </w:r>
            <w:proofErr w:type="spellStart"/>
            <w:r>
              <w:t>Siehe</w:t>
            </w:r>
            <w:proofErr w:type="spellEnd"/>
            <w:r>
              <w:t xml:space="preserve"> </w:t>
            </w:r>
            <w:proofErr w:type="spellStart"/>
            <w:r>
              <w:t>Referenzen</w:t>
            </w:r>
            <w:proofErr w:type="spellEnd"/>
            <w:r>
              <w:t xml:space="preserve"> </w:t>
            </w:r>
            <w:proofErr w:type="spellStart"/>
            <w:r>
              <w:t>für</w:t>
            </w:r>
            <w:proofErr w:type="spellEnd"/>
            <w:r>
              <w:t xml:space="preserve"> </w:t>
            </w:r>
            <w:proofErr w:type="spellStart"/>
            <w:r>
              <w:t>genaue</w:t>
            </w:r>
            <w:proofErr w:type="spellEnd"/>
            <w:r>
              <w:t xml:space="preserve"> </w:t>
            </w:r>
            <w:proofErr w:type="spellStart"/>
            <w:r>
              <w:t>Verwendungseinschränkungen</w:t>
            </w:r>
            <w:proofErr w:type="spellEnd"/>
            <w:r>
              <w:t>.</w:t>
            </w:r>
          </w:p>
          <w:p w14:paraId="01C3735A" w14:textId="5A162CFC" w:rsidR="00DC0DF7" w:rsidRPr="0048782E" w:rsidRDefault="00DC0DF7" w:rsidP="00DC0DF7">
            <w:pPr>
              <w:pStyle w:val="sBullet"/>
              <w:numPr>
                <w:ilvl w:val="0"/>
                <w:numId w:val="0"/>
              </w:numPr>
              <w:spacing w:before="120" w:after="120"/>
              <w:contextualSpacing w:val="0"/>
            </w:pPr>
            <w:r>
              <w:t xml:space="preserve">Die </w:t>
            </w:r>
            <w:proofErr w:type="spellStart"/>
            <w:r>
              <w:t>Verwendung</w:t>
            </w:r>
            <w:proofErr w:type="spellEnd"/>
            <w:r>
              <w:t xml:space="preserve"> </w:t>
            </w:r>
            <w:proofErr w:type="spellStart"/>
            <w:r>
              <w:t>anderer</w:t>
            </w:r>
            <w:proofErr w:type="spellEnd"/>
            <w:r>
              <w:t xml:space="preserve"> </w:t>
            </w:r>
            <w:proofErr w:type="spellStart"/>
            <w:r>
              <w:t>Octylphenole</w:t>
            </w:r>
            <w:proofErr w:type="spellEnd"/>
            <w:r>
              <w:t xml:space="preserve"> (OPs) und </w:t>
            </w:r>
            <w:proofErr w:type="spellStart"/>
            <w:r>
              <w:t>Octylphenolethoxylate</w:t>
            </w:r>
            <w:proofErr w:type="spellEnd"/>
            <w:r>
              <w:t xml:space="preserve"> </w:t>
            </w:r>
            <w:proofErr w:type="spellStart"/>
            <w:r>
              <w:t>als</w:t>
            </w:r>
            <w:proofErr w:type="spellEnd"/>
            <w:r>
              <w:t xml:space="preserve"> </w:t>
            </w:r>
            <w:proofErr w:type="spellStart"/>
            <w:r>
              <w:t>Ersatzstoffe</w:t>
            </w:r>
            <w:proofErr w:type="spellEnd"/>
            <w:r>
              <w:t xml:space="preserve"> </w:t>
            </w:r>
            <w:proofErr w:type="spellStart"/>
            <w:r>
              <w:t>sollte</w:t>
            </w:r>
            <w:proofErr w:type="spellEnd"/>
            <w:r>
              <w:t xml:space="preserve"> </w:t>
            </w:r>
            <w:proofErr w:type="spellStart"/>
            <w:r>
              <w:t>vermindert</w:t>
            </w:r>
            <w:proofErr w:type="spellEnd"/>
            <w:r>
              <w:t xml:space="preserve"> </w:t>
            </w:r>
            <w:proofErr w:type="spellStart"/>
            <w:r>
              <w:t>werden</w:t>
            </w:r>
            <w:proofErr w:type="spellEnd"/>
            <w:r>
              <w:t>.</w:t>
            </w:r>
          </w:p>
        </w:tc>
        <w:tc>
          <w:tcPr>
            <w:tcW w:w="2425" w:type="dxa"/>
          </w:tcPr>
          <w:p w14:paraId="70D058AE"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1907/2006/EG und </w:t>
            </w:r>
            <w:proofErr w:type="spellStart"/>
            <w:r>
              <w:t>Ergänzungen</w:t>
            </w:r>
            <w:proofErr w:type="spellEnd"/>
          </w:p>
          <w:p w14:paraId="03E71036" w14:textId="77777777" w:rsidR="00DC0DF7" w:rsidRPr="00C175FC" w:rsidRDefault="00DC0DF7" w:rsidP="00DC0DF7">
            <w:pPr>
              <w:pStyle w:val="sBullet"/>
              <w:numPr>
                <w:ilvl w:val="0"/>
                <w:numId w:val="0"/>
              </w:numPr>
              <w:spacing w:before="120" w:after="120"/>
              <w:contextualSpacing w:val="0"/>
            </w:pPr>
            <w:proofErr w:type="spellStart"/>
            <w:r>
              <w:t>Kanada</w:t>
            </w:r>
            <w:proofErr w:type="spellEnd"/>
            <w:r>
              <w:t xml:space="preserve"> – CEPA 1999 Schedule 1 List (2002)</w:t>
            </w:r>
          </w:p>
          <w:p w14:paraId="01C3735D" w14:textId="5265AAFA" w:rsidR="00DC0DF7" w:rsidRPr="0048782E" w:rsidRDefault="00DC0DF7" w:rsidP="00DC0DF7">
            <w:pPr>
              <w:pStyle w:val="sBullet"/>
              <w:numPr>
                <w:ilvl w:val="0"/>
                <w:numId w:val="0"/>
              </w:numPr>
              <w:spacing w:before="120" w:after="120"/>
              <w:contextualSpacing w:val="0"/>
            </w:pPr>
            <w:proofErr w:type="spellStart"/>
            <w:r>
              <w:t>Nordostatlantik</w:t>
            </w:r>
            <w:proofErr w:type="spellEnd"/>
            <w:r>
              <w:t xml:space="preserve"> – OSPAR</w:t>
            </w:r>
          </w:p>
        </w:tc>
      </w:tr>
      <w:tr w:rsidR="00DC0DF7" w:rsidRPr="002A6DFD" w14:paraId="01C3736A"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11130C19"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t>Zinnorganische Verbindungen (zwei- und dreifach substituriert):</w:t>
            </w:r>
          </w:p>
          <w:p w14:paraId="22C3CFC2" w14:textId="77777777" w:rsidR="00DC0DF7" w:rsidRPr="004E46E3" w:rsidRDefault="00DC0DF7" w:rsidP="00DC0DF7">
            <w:pPr>
              <w:keepNext/>
              <w:keepLines/>
              <w:spacing w:before="120" w:after="120"/>
              <w:ind w:left="70"/>
              <w:rPr>
                <w:color w:val="000000"/>
                <w:sz w:val="16"/>
                <w:szCs w:val="16"/>
                <w:lang w:val="de-DE"/>
              </w:rPr>
            </w:pPr>
            <w:r w:rsidRPr="004E46E3">
              <w:rPr>
                <w:color w:val="000000"/>
                <w:sz w:val="16"/>
                <w:szCs w:val="16"/>
                <w:lang w:val="de-DE"/>
              </w:rPr>
              <w:t>Tributylzinn (TBT)</w:t>
            </w:r>
          </w:p>
          <w:p w14:paraId="4D06138D" w14:textId="77777777" w:rsidR="00DC0DF7" w:rsidRPr="004E46E3" w:rsidRDefault="00DC0DF7" w:rsidP="00DC0DF7">
            <w:pPr>
              <w:keepNext/>
              <w:keepLines/>
              <w:spacing w:before="120" w:after="120"/>
              <w:ind w:left="70"/>
              <w:rPr>
                <w:color w:val="000000"/>
                <w:sz w:val="16"/>
                <w:szCs w:val="16"/>
                <w:lang w:val="de-DE"/>
              </w:rPr>
            </w:pPr>
            <w:r w:rsidRPr="004E46E3">
              <w:rPr>
                <w:color w:val="000000"/>
                <w:sz w:val="16"/>
                <w:szCs w:val="16"/>
                <w:lang w:val="de-DE"/>
              </w:rPr>
              <w:t xml:space="preserve">Triphenylzinn (TPT) </w:t>
            </w:r>
          </w:p>
          <w:p w14:paraId="7D28EC66" w14:textId="77777777" w:rsidR="00DC0DF7" w:rsidRPr="004E46E3" w:rsidRDefault="00DC0DF7" w:rsidP="00DC0DF7">
            <w:pPr>
              <w:keepNext/>
              <w:keepLines/>
              <w:spacing w:before="120" w:after="120"/>
              <w:ind w:left="70"/>
              <w:rPr>
                <w:color w:val="000000"/>
                <w:sz w:val="16"/>
                <w:szCs w:val="16"/>
                <w:lang w:val="de-DE"/>
              </w:rPr>
            </w:pPr>
            <w:r w:rsidRPr="004E46E3">
              <w:rPr>
                <w:color w:val="000000"/>
                <w:sz w:val="16"/>
                <w:szCs w:val="16"/>
                <w:lang w:val="de-DE"/>
              </w:rPr>
              <w:t>Dibutylzinn (DBT)</w:t>
            </w:r>
          </w:p>
          <w:p w14:paraId="2601FFA4" w14:textId="77777777" w:rsidR="00DC0DF7" w:rsidRPr="00D0185A" w:rsidRDefault="00DC0DF7" w:rsidP="00DC0DF7">
            <w:pPr>
              <w:keepNext/>
              <w:keepLines/>
              <w:spacing w:before="120" w:after="120"/>
              <w:ind w:left="70"/>
              <w:rPr>
                <w:color w:val="000000"/>
                <w:sz w:val="16"/>
                <w:szCs w:val="16"/>
              </w:rPr>
            </w:pPr>
            <w:proofErr w:type="spellStart"/>
            <w:r>
              <w:rPr>
                <w:color w:val="000000"/>
                <w:sz w:val="16"/>
                <w:szCs w:val="16"/>
              </w:rPr>
              <w:t>Dioctylzinn</w:t>
            </w:r>
            <w:proofErr w:type="spellEnd"/>
            <w:r>
              <w:rPr>
                <w:color w:val="000000"/>
                <w:sz w:val="16"/>
                <w:szCs w:val="16"/>
              </w:rPr>
              <w:t xml:space="preserve"> (DOT) </w:t>
            </w:r>
          </w:p>
          <w:p w14:paraId="01C37363" w14:textId="35B8F059" w:rsidR="00DC0DF7" w:rsidRPr="002A6DFD" w:rsidRDefault="00DC0DF7" w:rsidP="00DC0DF7">
            <w:pPr>
              <w:keepNext/>
              <w:keepLines/>
              <w:spacing w:before="120" w:after="120"/>
              <w:ind w:left="70"/>
              <w:rPr>
                <w:color w:val="000000" w:themeColor="text1"/>
                <w:sz w:val="16"/>
                <w:szCs w:val="16"/>
              </w:rPr>
            </w:pPr>
            <w:r>
              <w:rPr>
                <w:color w:val="000000"/>
                <w:sz w:val="16"/>
                <w:szCs w:val="16"/>
              </w:rPr>
              <w:t>Bis(</w:t>
            </w:r>
            <w:proofErr w:type="spellStart"/>
            <w:r>
              <w:rPr>
                <w:color w:val="000000"/>
                <w:sz w:val="16"/>
                <w:szCs w:val="16"/>
              </w:rPr>
              <w:t>tributylzinn</w:t>
            </w:r>
            <w:proofErr w:type="spellEnd"/>
            <w:r>
              <w:rPr>
                <w:color w:val="000000"/>
                <w:sz w:val="16"/>
                <w:szCs w:val="16"/>
              </w:rPr>
              <w:t>)</w:t>
            </w:r>
            <w:proofErr w:type="spellStart"/>
            <w:r>
              <w:rPr>
                <w:color w:val="000000"/>
                <w:sz w:val="16"/>
                <w:szCs w:val="16"/>
              </w:rPr>
              <w:t>oxid</w:t>
            </w:r>
            <w:proofErr w:type="spellEnd"/>
            <w:r>
              <w:rPr>
                <w:color w:val="000000"/>
                <w:sz w:val="16"/>
                <w:szCs w:val="16"/>
              </w:rPr>
              <w:t xml:space="preserve"> (TBTO)</w:t>
            </w:r>
          </w:p>
        </w:tc>
        <w:tc>
          <w:tcPr>
            <w:tcW w:w="1094" w:type="dxa"/>
          </w:tcPr>
          <w:p w14:paraId="01C37364" w14:textId="1E5D66AF" w:rsidR="00DC0DF7" w:rsidRPr="002A6DFD"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27FDB120" w14:textId="77777777" w:rsidR="00DC0DF7" w:rsidRPr="00C175FC" w:rsidRDefault="00DC0DF7" w:rsidP="00DC0DF7">
            <w:pPr>
              <w:pStyle w:val="sBullet"/>
              <w:numPr>
                <w:ilvl w:val="0"/>
                <w:numId w:val="0"/>
              </w:numPr>
              <w:spacing w:before="120" w:after="120"/>
              <w:contextualSpacing w:val="0"/>
            </w:pPr>
            <w:proofErr w:type="spellStart"/>
            <w:r>
              <w:t>Darf</w:t>
            </w:r>
            <w:proofErr w:type="spellEnd"/>
            <w:r>
              <w:t xml:space="preserve"> </w:t>
            </w:r>
            <w:proofErr w:type="spellStart"/>
            <w:r>
              <w:t>nicht</w:t>
            </w:r>
            <w:proofErr w:type="spellEnd"/>
            <w:r>
              <w:t xml:space="preserve"> </w:t>
            </w:r>
            <w:proofErr w:type="spellStart"/>
            <w:r>
              <w:t>verwendet</w:t>
            </w:r>
            <w:proofErr w:type="spellEnd"/>
            <w:r>
              <w:t xml:space="preserve"> </w:t>
            </w:r>
            <w:proofErr w:type="spellStart"/>
            <w:r>
              <w:t>werden</w:t>
            </w:r>
            <w:proofErr w:type="spellEnd"/>
            <w:r>
              <w:t xml:space="preserve">, </w:t>
            </w:r>
            <w:proofErr w:type="spellStart"/>
            <w:r>
              <w:t>wenn</w:t>
            </w:r>
            <w:proofErr w:type="spellEnd"/>
            <w:r>
              <w:t xml:space="preserve"> die </w:t>
            </w:r>
            <w:proofErr w:type="spellStart"/>
            <w:r>
              <w:t>Konzentration</w:t>
            </w:r>
            <w:proofErr w:type="spellEnd"/>
            <w:r>
              <w:t xml:space="preserve"> </w:t>
            </w:r>
            <w:proofErr w:type="spellStart"/>
            <w:r>
              <w:t>im</w:t>
            </w:r>
            <w:proofErr w:type="spellEnd"/>
            <w:r>
              <w:t xml:space="preserve"> Material </w:t>
            </w:r>
            <w:proofErr w:type="spellStart"/>
            <w:r>
              <w:t>größer</w:t>
            </w:r>
            <w:proofErr w:type="spellEnd"/>
            <w:r>
              <w:t xml:space="preserve"> </w:t>
            </w:r>
            <w:proofErr w:type="spellStart"/>
            <w:r>
              <w:t>ist</w:t>
            </w:r>
            <w:proofErr w:type="spellEnd"/>
            <w:r>
              <w:t xml:space="preserve"> </w:t>
            </w:r>
            <w:proofErr w:type="spellStart"/>
            <w:r>
              <w:t>als</w:t>
            </w:r>
            <w:proofErr w:type="spellEnd"/>
            <w:r>
              <w:t xml:space="preserve"> der </w:t>
            </w:r>
            <w:proofErr w:type="spellStart"/>
            <w:r>
              <w:t>entsprechende</w:t>
            </w:r>
            <w:proofErr w:type="spellEnd"/>
            <w:r>
              <w:t xml:space="preserve"> Wert von 0,1 % (1000 ppm) Zinn </w:t>
            </w:r>
            <w:proofErr w:type="spellStart"/>
            <w:r>
              <w:t>ist</w:t>
            </w:r>
            <w:proofErr w:type="spellEnd"/>
            <w:r>
              <w:t>.</w:t>
            </w:r>
          </w:p>
          <w:p w14:paraId="4A80E01C" w14:textId="77777777" w:rsidR="00DC0DF7" w:rsidRPr="00C175FC" w:rsidRDefault="00DC0DF7" w:rsidP="00DC0DF7">
            <w:pPr>
              <w:pStyle w:val="sBullet"/>
              <w:numPr>
                <w:ilvl w:val="0"/>
                <w:numId w:val="0"/>
              </w:numPr>
              <w:spacing w:before="120" w:after="120"/>
              <w:contextualSpacing w:val="0"/>
            </w:pPr>
            <w:proofErr w:type="spellStart"/>
            <w:r>
              <w:t>Siehe</w:t>
            </w:r>
            <w:proofErr w:type="spellEnd"/>
            <w:r>
              <w:t xml:space="preserve"> </w:t>
            </w:r>
            <w:proofErr w:type="spellStart"/>
            <w:r>
              <w:t>Referenzen</w:t>
            </w:r>
            <w:proofErr w:type="spellEnd"/>
            <w:r>
              <w:t xml:space="preserve"> </w:t>
            </w:r>
            <w:proofErr w:type="spellStart"/>
            <w:r>
              <w:t>für</w:t>
            </w:r>
            <w:proofErr w:type="spellEnd"/>
            <w:r>
              <w:t xml:space="preserve"> Details </w:t>
            </w:r>
            <w:proofErr w:type="spellStart"/>
            <w:r>
              <w:t>zu</w:t>
            </w:r>
            <w:proofErr w:type="spellEnd"/>
            <w:r>
              <w:t xml:space="preserve"> </w:t>
            </w:r>
            <w:proofErr w:type="spellStart"/>
            <w:r>
              <w:t>Einschränkungen</w:t>
            </w:r>
            <w:proofErr w:type="spellEnd"/>
            <w:r>
              <w:t xml:space="preserve"> und die </w:t>
            </w:r>
            <w:proofErr w:type="spellStart"/>
            <w:r>
              <w:t>betroffenen</w:t>
            </w:r>
            <w:proofErr w:type="spellEnd"/>
            <w:r>
              <w:t xml:space="preserve"> </w:t>
            </w:r>
            <w:proofErr w:type="spellStart"/>
            <w:r>
              <w:t>Produkte</w:t>
            </w:r>
            <w:proofErr w:type="spellEnd"/>
            <w:r>
              <w:t xml:space="preserve"> und </w:t>
            </w:r>
            <w:proofErr w:type="spellStart"/>
            <w:r>
              <w:t>Zubereitungen</w:t>
            </w:r>
            <w:proofErr w:type="spellEnd"/>
            <w:r>
              <w:t xml:space="preserve">. </w:t>
            </w:r>
            <w:proofErr w:type="spellStart"/>
            <w:r>
              <w:t>Ausnahmen</w:t>
            </w:r>
            <w:proofErr w:type="spellEnd"/>
            <w:r>
              <w:t xml:space="preserve"> auf </w:t>
            </w:r>
            <w:proofErr w:type="spellStart"/>
            <w:r>
              <w:t>Grund</w:t>
            </w:r>
            <w:proofErr w:type="spellEnd"/>
            <w:r>
              <w:t xml:space="preserve"> der </w:t>
            </w:r>
            <w:proofErr w:type="spellStart"/>
            <w:r>
              <w:t>Einlaufdaten</w:t>
            </w:r>
            <w:proofErr w:type="spellEnd"/>
            <w:r>
              <w:t xml:space="preserve"> </w:t>
            </w:r>
            <w:proofErr w:type="spellStart"/>
            <w:r>
              <w:t>sind</w:t>
            </w:r>
            <w:proofErr w:type="spellEnd"/>
            <w:r>
              <w:t xml:space="preserve"> </w:t>
            </w:r>
            <w:proofErr w:type="spellStart"/>
            <w:r>
              <w:t>ungültig</w:t>
            </w:r>
            <w:proofErr w:type="spellEnd"/>
            <w:r>
              <w:t>.</w:t>
            </w:r>
          </w:p>
          <w:p w14:paraId="01C37366" w14:textId="4D225EF9" w:rsidR="00DC0DF7" w:rsidRPr="002A6DFD" w:rsidRDefault="00DC0DF7" w:rsidP="00DC0DF7">
            <w:pPr>
              <w:pStyle w:val="sBullet"/>
              <w:numPr>
                <w:ilvl w:val="0"/>
                <w:numId w:val="0"/>
              </w:numPr>
              <w:spacing w:before="120" w:after="120"/>
              <w:contextualSpacing w:val="0"/>
            </w:pPr>
            <w:r>
              <w:t xml:space="preserve">TBTO: </w:t>
            </w:r>
            <w:proofErr w:type="spellStart"/>
            <w:r>
              <w:t>Darf</w:t>
            </w:r>
            <w:proofErr w:type="spellEnd"/>
            <w:r>
              <w:t xml:space="preserve"> </w:t>
            </w:r>
            <w:proofErr w:type="spellStart"/>
            <w:r>
              <w:t>nicht</w:t>
            </w:r>
            <w:proofErr w:type="spellEnd"/>
            <w:r>
              <w:t xml:space="preserve"> </w:t>
            </w:r>
            <w:proofErr w:type="spellStart"/>
            <w:r>
              <w:t>vorsätzlich</w:t>
            </w:r>
            <w:proofErr w:type="spellEnd"/>
            <w:r>
              <w:t xml:space="preserve"> </w:t>
            </w:r>
            <w:proofErr w:type="spellStart"/>
            <w:r>
              <w:t>zu</w:t>
            </w:r>
            <w:proofErr w:type="spellEnd"/>
            <w:r>
              <w:t xml:space="preserve"> </w:t>
            </w:r>
            <w:proofErr w:type="spellStart"/>
            <w:r>
              <w:t>Teilen</w:t>
            </w:r>
            <w:proofErr w:type="spellEnd"/>
            <w:r>
              <w:t xml:space="preserve">, </w:t>
            </w:r>
            <w:proofErr w:type="spellStart"/>
            <w:r>
              <w:t>Komponenten</w:t>
            </w:r>
            <w:proofErr w:type="spellEnd"/>
            <w:r>
              <w:t xml:space="preserve">, </w:t>
            </w:r>
            <w:proofErr w:type="spellStart"/>
            <w:r>
              <w:t>Materialien</w:t>
            </w:r>
            <w:proofErr w:type="spellEnd"/>
            <w:r>
              <w:t xml:space="preserve"> </w:t>
            </w:r>
            <w:proofErr w:type="spellStart"/>
            <w:r>
              <w:t>oder</w:t>
            </w:r>
            <w:proofErr w:type="spellEnd"/>
            <w:r>
              <w:t xml:space="preserve"> </w:t>
            </w:r>
            <w:proofErr w:type="spellStart"/>
            <w:r>
              <w:t>Produkten</w:t>
            </w:r>
            <w:proofErr w:type="spellEnd"/>
            <w:r>
              <w:t xml:space="preserve"> </w:t>
            </w:r>
            <w:proofErr w:type="spellStart"/>
            <w:r>
              <w:t>hinzugefügt</w:t>
            </w:r>
            <w:proofErr w:type="spellEnd"/>
            <w:r>
              <w:t xml:space="preserve"> </w:t>
            </w:r>
            <w:proofErr w:type="spellStart"/>
            <w:r>
              <w:t>werden</w:t>
            </w:r>
            <w:proofErr w:type="spellEnd"/>
            <w:r>
              <w:t xml:space="preserve">; </w:t>
            </w:r>
            <w:proofErr w:type="spellStart"/>
            <w:r>
              <w:t>ist</w:t>
            </w:r>
            <w:proofErr w:type="spellEnd"/>
            <w:r>
              <w:t xml:space="preserve"> </w:t>
            </w:r>
            <w:proofErr w:type="spellStart"/>
            <w:r>
              <w:t>ebenfalls</w:t>
            </w:r>
            <w:proofErr w:type="spellEnd"/>
            <w:r>
              <w:t xml:space="preserve"> </w:t>
            </w:r>
            <w:proofErr w:type="spellStart"/>
            <w:r>
              <w:t>meldepflichtig</w:t>
            </w:r>
            <w:proofErr w:type="spellEnd"/>
            <w:r>
              <w:t xml:space="preserve"> </w:t>
            </w:r>
            <w:proofErr w:type="spellStart"/>
            <w:r>
              <w:t>nach</w:t>
            </w:r>
            <w:proofErr w:type="spellEnd"/>
            <w:r>
              <w:t xml:space="preserve"> REACH SVHC.</w:t>
            </w:r>
          </w:p>
        </w:tc>
        <w:tc>
          <w:tcPr>
            <w:tcW w:w="2425" w:type="dxa"/>
          </w:tcPr>
          <w:p w14:paraId="00FA9942"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2006/1907/EG und </w:t>
            </w:r>
            <w:proofErr w:type="spellStart"/>
            <w:r>
              <w:t>Ergänzungen</w:t>
            </w:r>
            <w:proofErr w:type="spellEnd"/>
            <w:r>
              <w:t xml:space="preserve">, </w:t>
            </w:r>
            <w:proofErr w:type="spellStart"/>
            <w:r>
              <w:t>Entscheidung</w:t>
            </w:r>
            <w:proofErr w:type="spellEnd"/>
            <w:r>
              <w:t xml:space="preserve"> 2009/425/EG</w:t>
            </w:r>
          </w:p>
          <w:p w14:paraId="28D62C61" w14:textId="77777777" w:rsidR="00DC0DF7" w:rsidRPr="00C175FC" w:rsidRDefault="00DC0DF7" w:rsidP="00DC0DF7">
            <w:pPr>
              <w:pStyle w:val="sBullet"/>
              <w:numPr>
                <w:ilvl w:val="0"/>
                <w:numId w:val="0"/>
              </w:numPr>
              <w:spacing w:before="120" w:after="120"/>
              <w:contextualSpacing w:val="0"/>
            </w:pPr>
            <w:r>
              <w:t xml:space="preserve">Japan - </w:t>
            </w:r>
            <w:proofErr w:type="spellStart"/>
            <w:r>
              <w:t>Gesetz</w:t>
            </w:r>
            <w:proofErr w:type="spellEnd"/>
            <w:r>
              <w:t xml:space="preserve"> </w:t>
            </w:r>
            <w:proofErr w:type="spellStart"/>
            <w:r>
              <w:t>für</w:t>
            </w:r>
            <w:proofErr w:type="spellEnd"/>
            <w:r>
              <w:t xml:space="preserve"> die </w:t>
            </w:r>
            <w:proofErr w:type="spellStart"/>
            <w:r>
              <w:t>Untersuchung</w:t>
            </w:r>
            <w:proofErr w:type="spellEnd"/>
            <w:r>
              <w:t xml:space="preserve"> und </w:t>
            </w:r>
            <w:proofErr w:type="spellStart"/>
            <w:r>
              <w:t>Regulierung</w:t>
            </w:r>
            <w:proofErr w:type="spellEnd"/>
            <w:r>
              <w:t xml:space="preserve"> der </w:t>
            </w:r>
            <w:proofErr w:type="spellStart"/>
            <w:r>
              <w:t>Herstellung</w:t>
            </w:r>
            <w:proofErr w:type="spellEnd"/>
            <w:r>
              <w:t xml:space="preserve"> von </w:t>
            </w:r>
            <w:proofErr w:type="spellStart"/>
            <w:r>
              <w:t>chemischen</w:t>
            </w:r>
            <w:proofErr w:type="spellEnd"/>
            <w:r>
              <w:t xml:space="preserve"> </w:t>
            </w:r>
            <w:proofErr w:type="spellStart"/>
            <w:r>
              <w:t>Stoffen</w:t>
            </w:r>
            <w:proofErr w:type="spellEnd"/>
            <w:r>
              <w:t xml:space="preserve">, </w:t>
            </w:r>
            <w:proofErr w:type="spellStart"/>
            <w:r>
              <w:t>Klasse</w:t>
            </w:r>
            <w:proofErr w:type="spellEnd"/>
            <w:r>
              <w:t xml:space="preserve"> I </w:t>
            </w:r>
            <w:proofErr w:type="spellStart"/>
            <w:r>
              <w:t>und</w:t>
            </w:r>
            <w:proofErr w:type="spellEnd"/>
            <w:r>
              <w:t xml:space="preserve"> II</w:t>
            </w:r>
          </w:p>
          <w:p w14:paraId="01C37369" w14:textId="3B714FF2" w:rsidR="00DC0DF7" w:rsidRPr="002A6DFD" w:rsidRDefault="00DC0DF7" w:rsidP="00DC0DF7">
            <w:pPr>
              <w:pStyle w:val="sBullet"/>
              <w:numPr>
                <w:ilvl w:val="0"/>
                <w:numId w:val="0"/>
              </w:numPr>
              <w:spacing w:before="120" w:after="120"/>
              <w:contextualSpacing w:val="0"/>
            </w:pPr>
            <w:proofErr w:type="spellStart"/>
            <w:r>
              <w:t>Nordostatlantik</w:t>
            </w:r>
            <w:proofErr w:type="spellEnd"/>
            <w:r>
              <w:t xml:space="preserve"> – OSPAR</w:t>
            </w:r>
          </w:p>
        </w:tc>
      </w:tr>
      <w:tr w:rsidR="00DC0DF7" w:rsidRPr="00754991" w14:paraId="01C37376" w14:textId="77777777" w:rsidTr="00A37697">
        <w:trPr>
          <w:gridBefore w:val="1"/>
          <w:wBefore w:w="9" w:type="dxa"/>
          <w:cantSplit/>
        </w:trPr>
        <w:tc>
          <w:tcPr>
            <w:tcW w:w="2055" w:type="dxa"/>
          </w:tcPr>
          <w:p w14:paraId="071FA5C7"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t>Ozon-abbauende Substanzen</w:t>
            </w:r>
          </w:p>
          <w:p w14:paraId="01C3736C" w14:textId="64277C50" w:rsidR="00DC0DF7" w:rsidRPr="00E5181A" w:rsidRDefault="00DC0DF7" w:rsidP="00DC0DF7">
            <w:pPr>
              <w:keepNext/>
              <w:keepLines/>
              <w:spacing w:before="120" w:after="120"/>
              <w:rPr>
                <w:color w:val="000000" w:themeColor="text1"/>
                <w:sz w:val="16"/>
                <w:szCs w:val="16"/>
              </w:rPr>
            </w:pPr>
            <w:r w:rsidRPr="004E46E3">
              <w:rPr>
                <w:color w:val="000000"/>
                <w:sz w:val="16"/>
                <w:szCs w:val="16"/>
                <w:lang w:val="de-DE"/>
              </w:rPr>
              <w:t>(z. B. CFCs, HBFCs, HCFCs, andere)</w:t>
            </w:r>
          </w:p>
        </w:tc>
        <w:tc>
          <w:tcPr>
            <w:tcW w:w="1094" w:type="dxa"/>
          </w:tcPr>
          <w:p w14:paraId="01C3736D" w14:textId="71D5DA75"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62F3C9FC" w14:textId="77777777" w:rsidR="00DC0DF7" w:rsidRPr="00C175FC" w:rsidRDefault="00DC0DF7" w:rsidP="00DC0DF7">
            <w:pPr>
              <w:pStyle w:val="sBullet"/>
              <w:numPr>
                <w:ilvl w:val="0"/>
                <w:numId w:val="0"/>
              </w:numPr>
              <w:spacing w:before="120" w:after="120"/>
              <w:contextualSpacing w:val="0"/>
            </w:pPr>
            <w:proofErr w:type="spellStart"/>
            <w:r>
              <w:t>Verschiedene</w:t>
            </w:r>
            <w:proofErr w:type="spellEnd"/>
            <w:r>
              <w:t xml:space="preserve"> Stoff </w:t>
            </w:r>
            <w:proofErr w:type="spellStart"/>
            <w:r>
              <w:t>dürfen</w:t>
            </w:r>
            <w:proofErr w:type="spellEnd"/>
            <w:r>
              <w:t xml:space="preserve"> </w:t>
            </w:r>
            <w:proofErr w:type="spellStart"/>
            <w:r>
              <w:t>nicht</w:t>
            </w:r>
            <w:proofErr w:type="spellEnd"/>
            <w:r>
              <w:t xml:space="preserve"> in </w:t>
            </w:r>
            <w:proofErr w:type="spellStart"/>
            <w:r>
              <w:t>Teilen</w:t>
            </w:r>
            <w:proofErr w:type="spellEnd"/>
            <w:r>
              <w:t xml:space="preserve">, </w:t>
            </w:r>
            <w:proofErr w:type="spellStart"/>
            <w:r>
              <w:t>Komponenten</w:t>
            </w:r>
            <w:proofErr w:type="spellEnd"/>
            <w:r>
              <w:t xml:space="preserve">, </w:t>
            </w:r>
            <w:proofErr w:type="spellStart"/>
            <w:r>
              <w:t>Materialien</w:t>
            </w:r>
            <w:proofErr w:type="spellEnd"/>
            <w:r>
              <w:t xml:space="preserve"> </w:t>
            </w:r>
            <w:proofErr w:type="spellStart"/>
            <w:r>
              <w:t>oder</w:t>
            </w:r>
            <w:proofErr w:type="spellEnd"/>
            <w:r>
              <w:t xml:space="preserve"> </w:t>
            </w:r>
            <w:proofErr w:type="spellStart"/>
            <w:r>
              <w:t>Produkten</w:t>
            </w:r>
            <w:proofErr w:type="spellEnd"/>
            <w:r>
              <w:t xml:space="preserve"> </w:t>
            </w:r>
            <w:proofErr w:type="spellStart"/>
            <w:r>
              <w:t>vorhanden</w:t>
            </w:r>
            <w:proofErr w:type="spellEnd"/>
            <w:r>
              <w:t xml:space="preserve"> sein </w:t>
            </w:r>
            <w:proofErr w:type="spellStart"/>
            <w:r>
              <w:t>oder</w:t>
            </w:r>
            <w:proofErr w:type="spellEnd"/>
            <w:r>
              <w:t xml:space="preserve"> in </w:t>
            </w:r>
            <w:proofErr w:type="spellStart"/>
            <w:r>
              <w:t>deren</w:t>
            </w:r>
            <w:proofErr w:type="spellEnd"/>
            <w:r>
              <w:t xml:space="preserve"> </w:t>
            </w:r>
            <w:proofErr w:type="spellStart"/>
            <w:r>
              <w:t>Herstellung</w:t>
            </w:r>
            <w:proofErr w:type="spellEnd"/>
            <w:r>
              <w:t xml:space="preserve">. </w:t>
            </w:r>
            <w:proofErr w:type="spellStart"/>
            <w:r>
              <w:t>Diese</w:t>
            </w:r>
            <w:proofErr w:type="spellEnd"/>
            <w:r>
              <w:t xml:space="preserve"> </w:t>
            </w:r>
            <w:proofErr w:type="spellStart"/>
            <w:r>
              <w:t>Anforderung</w:t>
            </w:r>
            <w:proofErr w:type="spellEnd"/>
            <w:r>
              <w:t xml:space="preserve"> gilt </w:t>
            </w:r>
            <w:proofErr w:type="spellStart"/>
            <w:r>
              <w:t>nicht</w:t>
            </w:r>
            <w:proofErr w:type="spellEnd"/>
            <w:r>
              <w:t xml:space="preserve"> </w:t>
            </w:r>
            <w:proofErr w:type="spellStart"/>
            <w:r>
              <w:t>für</w:t>
            </w:r>
            <w:proofErr w:type="spellEnd"/>
            <w:r>
              <w:t xml:space="preserve"> die </w:t>
            </w:r>
            <w:proofErr w:type="spellStart"/>
            <w:r>
              <w:t>Verwendung</w:t>
            </w:r>
            <w:proofErr w:type="spellEnd"/>
            <w:r>
              <w:t xml:space="preserve"> der </w:t>
            </w:r>
            <w:proofErr w:type="spellStart"/>
            <w:r>
              <w:t>Stoffe</w:t>
            </w:r>
            <w:proofErr w:type="spellEnd"/>
            <w:r>
              <w:t xml:space="preserve"> in </w:t>
            </w:r>
            <w:proofErr w:type="spellStart"/>
            <w:r>
              <w:t>Kühlkörpern</w:t>
            </w:r>
            <w:proofErr w:type="spellEnd"/>
            <w:r>
              <w:t xml:space="preserve"> in der </w:t>
            </w:r>
            <w:proofErr w:type="spellStart"/>
            <w:r>
              <w:t>Produktionsanlagen</w:t>
            </w:r>
            <w:proofErr w:type="spellEnd"/>
            <w:r>
              <w:t xml:space="preserve"> </w:t>
            </w:r>
            <w:proofErr w:type="spellStart"/>
            <w:r>
              <w:t>oder</w:t>
            </w:r>
            <w:proofErr w:type="spellEnd"/>
            <w:r>
              <w:t xml:space="preserve"> </w:t>
            </w:r>
            <w:proofErr w:type="spellStart"/>
            <w:r>
              <w:t>Datenzentern</w:t>
            </w:r>
            <w:proofErr w:type="spellEnd"/>
            <w:r>
              <w:t>.</w:t>
            </w:r>
          </w:p>
          <w:p w14:paraId="3D98AC34" w14:textId="77777777" w:rsidR="00DC0DF7" w:rsidRPr="00C175FC" w:rsidRDefault="00DC0DF7" w:rsidP="00DC0DF7">
            <w:pPr>
              <w:pStyle w:val="sBullet"/>
              <w:numPr>
                <w:ilvl w:val="0"/>
                <w:numId w:val="0"/>
              </w:numPr>
              <w:spacing w:before="120" w:after="120"/>
              <w:contextualSpacing w:val="0"/>
            </w:pPr>
            <w:proofErr w:type="spellStart"/>
            <w:r>
              <w:t>Stoffe</w:t>
            </w:r>
            <w:proofErr w:type="spellEnd"/>
            <w:r>
              <w:t xml:space="preserve"> </w:t>
            </w:r>
            <w:proofErr w:type="spellStart"/>
            <w:r>
              <w:t>dürfen</w:t>
            </w:r>
            <w:proofErr w:type="spellEnd"/>
            <w:r>
              <w:t xml:space="preserve"> </w:t>
            </w:r>
            <w:proofErr w:type="spellStart"/>
            <w:r>
              <w:t>nicht</w:t>
            </w:r>
            <w:proofErr w:type="spellEnd"/>
            <w:r>
              <w:t xml:space="preserve"> in </w:t>
            </w:r>
            <w:proofErr w:type="spellStart"/>
            <w:r>
              <w:t>Schaumpackmitteln</w:t>
            </w:r>
            <w:proofErr w:type="spellEnd"/>
            <w:r>
              <w:t xml:space="preserve">, </w:t>
            </w:r>
            <w:proofErr w:type="spellStart"/>
            <w:r>
              <w:t>zum</w:t>
            </w:r>
            <w:proofErr w:type="spellEnd"/>
            <w:r>
              <w:t xml:space="preserve"> </w:t>
            </w:r>
            <w:proofErr w:type="spellStart"/>
            <w:r>
              <w:t>Beispiel</w:t>
            </w:r>
            <w:proofErr w:type="spellEnd"/>
            <w:r>
              <w:t xml:space="preserve"> </w:t>
            </w:r>
            <w:proofErr w:type="spellStart"/>
            <w:r>
              <w:t>als</w:t>
            </w:r>
            <w:proofErr w:type="spellEnd"/>
            <w:r>
              <w:t xml:space="preserve"> </w:t>
            </w:r>
            <w:proofErr w:type="spellStart"/>
            <w:r>
              <w:t>Treibmittel</w:t>
            </w:r>
            <w:proofErr w:type="spellEnd"/>
            <w:r>
              <w:t xml:space="preserve"> </w:t>
            </w:r>
            <w:proofErr w:type="spellStart"/>
            <w:r>
              <w:t>für</w:t>
            </w:r>
            <w:proofErr w:type="spellEnd"/>
            <w:r>
              <w:t xml:space="preserve"> </w:t>
            </w:r>
            <w:proofErr w:type="spellStart"/>
            <w:r>
              <w:t>Schaumstoff</w:t>
            </w:r>
            <w:proofErr w:type="spellEnd"/>
            <w:r>
              <w:t xml:space="preserve"> </w:t>
            </w:r>
            <w:proofErr w:type="spellStart"/>
            <w:r>
              <w:t>verwendet</w:t>
            </w:r>
            <w:proofErr w:type="spellEnd"/>
            <w:r>
              <w:t xml:space="preserve"> </w:t>
            </w:r>
            <w:proofErr w:type="spellStart"/>
            <w:r>
              <w:t>werden</w:t>
            </w:r>
            <w:proofErr w:type="spellEnd"/>
            <w:r>
              <w:t xml:space="preserve">. </w:t>
            </w:r>
          </w:p>
          <w:p w14:paraId="251310B2" w14:textId="77777777" w:rsidR="00DC0DF7" w:rsidRPr="00C175FC" w:rsidRDefault="00DC0DF7" w:rsidP="00DC0DF7">
            <w:pPr>
              <w:pStyle w:val="sBullet"/>
              <w:numPr>
                <w:ilvl w:val="0"/>
                <w:numId w:val="0"/>
              </w:numPr>
              <w:spacing w:before="120" w:after="120"/>
              <w:contextualSpacing w:val="0"/>
            </w:pPr>
            <w:proofErr w:type="spellStart"/>
            <w:r>
              <w:t>Bromkohlenstoffsterilisierung</w:t>
            </w:r>
            <w:proofErr w:type="spellEnd"/>
            <w:r>
              <w:t xml:space="preserve"> </w:t>
            </w:r>
            <w:proofErr w:type="spellStart"/>
            <w:r>
              <w:t>darf</w:t>
            </w:r>
            <w:proofErr w:type="spellEnd"/>
            <w:r>
              <w:t xml:space="preserve"> </w:t>
            </w:r>
            <w:proofErr w:type="spellStart"/>
            <w:r>
              <w:t>nicht</w:t>
            </w:r>
            <w:proofErr w:type="spellEnd"/>
            <w:r>
              <w:t xml:space="preserve"> in </w:t>
            </w:r>
            <w:proofErr w:type="spellStart"/>
            <w:r>
              <w:t>Holzverpackungen</w:t>
            </w:r>
            <w:proofErr w:type="spellEnd"/>
            <w:r>
              <w:t xml:space="preserve"> </w:t>
            </w:r>
            <w:proofErr w:type="spellStart"/>
            <w:r>
              <w:t>verwendet</w:t>
            </w:r>
            <w:proofErr w:type="spellEnd"/>
            <w:r>
              <w:t xml:space="preserve"> </w:t>
            </w:r>
            <w:proofErr w:type="spellStart"/>
            <w:r>
              <w:t>werden</w:t>
            </w:r>
            <w:proofErr w:type="spellEnd"/>
            <w:r>
              <w:t xml:space="preserve">. </w:t>
            </w:r>
          </w:p>
          <w:p w14:paraId="01C37371" w14:textId="67745347" w:rsidR="00DC0DF7" w:rsidRPr="00E5181A" w:rsidRDefault="00DC0DF7" w:rsidP="00DC0DF7">
            <w:pPr>
              <w:pStyle w:val="sBullet"/>
              <w:numPr>
                <w:ilvl w:val="0"/>
                <w:numId w:val="0"/>
              </w:numPr>
              <w:spacing w:before="120" w:after="120"/>
              <w:contextualSpacing w:val="0"/>
            </w:pPr>
            <w:r>
              <w:t xml:space="preserve">FCKWs </w:t>
            </w:r>
            <w:proofErr w:type="spellStart"/>
            <w:r>
              <w:t>dürfen</w:t>
            </w:r>
            <w:proofErr w:type="spellEnd"/>
            <w:r>
              <w:t xml:space="preserve"> </w:t>
            </w:r>
            <w:proofErr w:type="spellStart"/>
            <w:r>
              <w:t>nicht</w:t>
            </w:r>
            <w:proofErr w:type="spellEnd"/>
            <w:r>
              <w:t xml:space="preserve"> </w:t>
            </w:r>
            <w:proofErr w:type="spellStart"/>
            <w:r>
              <w:t>zum</w:t>
            </w:r>
            <w:proofErr w:type="spellEnd"/>
            <w:r>
              <w:t xml:space="preserve"> </w:t>
            </w:r>
            <w:proofErr w:type="spellStart"/>
            <w:r>
              <w:t>Reinigen</w:t>
            </w:r>
            <w:proofErr w:type="spellEnd"/>
            <w:r>
              <w:t xml:space="preserve"> </w:t>
            </w:r>
            <w:proofErr w:type="spellStart"/>
            <w:r>
              <w:t>mit</w:t>
            </w:r>
            <w:proofErr w:type="spellEnd"/>
            <w:r>
              <w:t xml:space="preserve"> </w:t>
            </w:r>
            <w:proofErr w:type="spellStart"/>
            <w:r>
              <w:t>Lösungsmitteln</w:t>
            </w:r>
            <w:proofErr w:type="spellEnd"/>
            <w:r>
              <w:t xml:space="preserve">, </w:t>
            </w:r>
            <w:proofErr w:type="spellStart"/>
            <w:r>
              <w:t>als</w:t>
            </w:r>
            <w:proofErr w:type="spellEnd"/>
            <w:r>
              <w:t xml:space="preserve"> </w:t>
            </w:r>
            <w:proofErr w:type="spellStart"/>
            <w:r>
              <w:t>Treibmittel</w:t>
            </w:r>
            <w:proofErr w:type="spellEnd"/>
            <w:r>
              <w:t xml:space="preserve"> </w:t>
            </w:r>
            <w:proofErr w:type="spellStart"/>
            <w:r>
              <w:t>für</w:t>
            </w:r>
            <w:proofErr w:type="spellEnd"/>
            <w:r>
              <w:t xml:space="preserve"> </w:t>
            </w:r>
            <w:proofErr w:type="spellStart"/>
            <w:r>
              <w:t>Schaumstoff</w:t>
            </w:r>
            <w:proofErr w:type="spellEnd"/>
            <w:r>
              <w:t xml:space="preserve"> </w:t>
            </w:r>
            <w:proofErr w:type="spellStart"/>
            <w:r>
              <w:t>oder</w:t>
            </w:r>
            <w:proofErr w:type="spellEnd"/>
            <w:r>
              <w:t xml:space="preserve"> </w:t>
            </w:r>
            <w:proofErr w:type="spellStart"/>
            <w:r>
              <w:t>als</w:t>
            </w:r>
            <w:proofErr w:type="spellEnd"/>
            <w:r>
              <w:t xml:space="preserve"> </w:t>
            </w:r>
            <w:proofErr w:type="spellStart"/>
            <w:r>
              <w:t>Kühlmittel</w:t>
            </w:r>
            <w:proofErr w:type="spellEnd"/>
            <w:r>
              <w:t xml:space="preserve"> </w:t>
            </w:r>
            <w:proofErr w:type="spellStart"/>
            <w:r>
              <w:t>verwendet</w:t>
            </w:r>
            <w:proofErr w:type="spellEnd"/>
            <w:r>
              <w:t xml:space="preserve"> </w:t>
            </w:r>
            <w:proofErr w:type="spellStart"/>
            <w:r>
              <w:t>werden</w:t>
            </w:r>
            <w:proofErr w:type="spellEnd"/>
            <w:r>
              <w:t>.</w:t>
            </w:r>
          </w:p>
        </w:tc>
        <w:tc>
          <w:tcPr>
            <w:tcW w:w="2432" w:type="dxa"/>
            <w:gridSpan w:val="2"/>
          </w:tcPr>
          <w:p w14:paraId="7D74EBDB"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2037/2000/EG und </w:t>
            </w:r>
            <w:proofErr w:type="spellStart"/>
            <w:r>
              <w:t>Ergänzungen</w:t>
            </w:r>
            <w:proofErr w:type="spellEnd"/>
            <w:r>
              <w:t xml:space="preserve">, </w:t>
            </w:r>
            <w:proofErr w:type="spellStart"/>
            <w:r>
              <w:t>Verordnung</w:t>
            </w:r>
            <w:proofErr w:type="spellEnd"/>
            <w:r>
              <w:t xml:space="preserve"> 1907/2006/EG und </w:t>
            </w:r>
            <w:proofErr w:type="spellStart"/>
            <w:r>
              <w:t>Ergänzungen</w:t>
            </w:r>
            <w:proofErr w:type="spellEnd"/>
          </w:p>
          <w:p w14:paraId="09893B8E" w14:textId="77777777" w:rsidR="00DC0DF7" w:rsidRPr="00C175FC" w:rsidRDefault="00DC0DF7" w:rsidP="00DC0DF7">
            <w:pPr>
              <w:pStyle w:val="sBullet"/>
              <w:numPr>
                <w:ilvl w:val="0"/>
                <w:numId w:val="0"/>
              </w:numPr>
              <w:spacing w:before="120" w:after="120"/>
              <w:contextualSpacing w:val="0"/>
            </w:pPr>
            <w:r>
              <w:t xml:space="preserve">Japan – </w:t>
            </w:r>
            <w:proofErr w:type="spellStart"/>
            <w:r>
              <w:t>Gesetz</w:t>
            </w:r>
            <w:proofErr w:type="spellEnd"/>
            <w:r>
              <w:t xml:space="preserve"> </w:t>
            </w:r>
            <w:proofErr w:type="spellStart"/>
            <w:r>
              <w:t>zum</w:t>
            </w:r>
            <w:proofErr w:type="spellEnd"/>
            <w:r>
              <w:t xml:space="preserve"> Schutz der </w:t>
            </w:r>
            <w:proofErr w:type="spellStart"/>
            <w:r>
              <w:t>Ozonschicht</w:t>
            </w:r>
            <w:proofErr w:type="spellEnd"/>
            <w:r>
              <w:t xml:space="preserve"> </w:t>
            </w:r>
            <w:proofErr w:type="spellStart"/>
            <w:r>
              <w:t>durch</w:t>
            </w:r>
            <w:proofErr w:type="spellEnd"/>
            <w:r>
              <w:t xml:space="preserve"> die </w:t>
            </w:r>
            <w:proofErr w:type="spellStart"/>
            <w:r>
              <w:t>Kontrolle</w:t>
            </w:r>
            <w:proofErr w:type="spellEnd"/>
            <w:r>
              <w:t xml:space="preserve"> </w:t>
            </w:r>
            <w:proofErr w:type="spellStart"/>
            <w:r>
              <w:t>bestimmter</w:t>
            </w:r>
            <w:proofErr w:type="spellEnd"/>
            <w:r>
              <w:t xml:space="preserve"> </w:t>
            </w:r>
            <w:proofErr w:type="spellStart"/>
            <w:r>
              <w:t>Stoffe</w:t>
            </w:r>
            <w:proofErr w:type="spellEnd"/>
            <w:r>
              <w:t xml:space="preserve"> und </w:t>
            </w:r>
            <w:proofErr w:type="spellStart"/>
            <w:r>
              <w:t>anderer</w:t>
            </w:r>
            <w:proofErr w:type="spellEnd"/>
            <w:r>
              <w:t xml:space="preserve"> </w:t>
            </w:r>
            <w:proofErr w:type="spellStart"/>
            <w:r>
              <w:t>Maßnahmen</w:t>
            </w:r>
            <w:proofErr w:type="spellEnd"/>
          </w:p>
          <w:p w14:paraId="70BE67F6" w14:textId="77777777" w:rsidR="00DC0DF7" w:rsidRPr="00C175FC" w:rsidRDefault="00DC0DF7" w:rsidP="00DC0DF7">
            <w:pPr>
              <w:pStyle w:val="sBullet"/>
              <w:numPr>
                <w:ilvl w:val="0"/>
                <w:numId w:val="0"/>
              </w:numPr>
              <w:spacing w:before="120" w:after="120"/>
              <w:contextualSpacing w:val="0"/>
            </w:pPr>
            <w:r>
              <w:t xml:space="preserve">USA – </w:t>
            </w:r>
            <w:proofErr w:type="spellStart"/>
            <w:r>
              <w:t>Ergänzungen</w:t>
            </w:r>
            <w:proofErr w:type="spellEnd"/>
            <w:r>
              <w:t xml:space="preserve"> </w:t>
            </w:r>
            <w:proofErr w:type="spellStart"/>
            <w:r>
              <w:t>zum</w:t>
            </w:r>
            <w:proofErr w:type="spellEnd"/>
            <w:r>
              <w:t xml:space="preserve"> Clean Air Act (</w:t>
            </w:r>
            <w:proofErr w:type="spellStart"/>
            <w:r>
              <w:t>Immissionsschutzgesetz</w:t>
            </w:r>
            <w:proofErr w:type="spellEnd"/>
            <w:r>
              <w:t xml:space="preserve">) von 1990 – </w:t>
            </w:r>
            <w:proofErr w:type="spellStart"/>
            <w:r>
              <w:t>Artikel</w:t>
            </w:r>
            <w:proofErr w:type="spellEnd"/>
            <w:r>
              <w:t xml:space="preserve"> 611, Montreal </w:t>
            </w:r>
            <w:proofErr w:type="spellStart"/>
            <w:r>
              <w:t>Protokoll</w:t>
            </w:r>
            <w:proofErr w:type="spellEnd"/>
          </w:p>
          <w:p w14:paraId="01C37375" w14:textId="53A73D1B" w:rsidR="00DC0DF7" w:rsidRPr="0038743A" w:rsidRDefault="00DC0DF7" w:rsidP="00DC0DF7">
            <w:pPr>
              <w:pStyle w:val="sBullet"/>
              <w:numPr>
                <w:ilvl w:val="0"/>
                <w:numId w:val="0"/>
              </w:numPr>
              <w:spacing w:before="120" w:after="120"/>
              <w:contextualSpacing w:val="0"/>
            </w:pPr>
            <w:proofErr w:type="spellStart"/>
            <w:r>
              <w:t>Indonesien</w:t>
            </w:r>
            <w:proofErr w:type="spellEnd"/>
            <w:r>
              <w:t xml:space="preserve"> – </w:t>
            </w:r>
            <w:proofErr w:type="spellStart"/>
            <w:r>
              <w:t>Verordnung</w:t>
            </w:r>
            <w:proofErr w:type="spellEnd"/>
            <w:r>
              <w:t xml:space="preserve"> des </w:t>
            </w:r>
            <w:proofErr w:type="spellStart"/>
            <w:r>
              <w:t>Industrieministeriums</w:t>
            </w:r>
            <w:proofErr w:type="spellEnd"/>
            <w:r>
              <w:t xml:space="preserve"> der </w:t>
            </w:r>
            <w:proofErr w:type="spellStart"/>
            <w:r>
              <w:t>Republik</w:t>
            </w:r>
            <w:proofErr w:type="spellEnd"/>
            <w:r>
              <w:t xml:space="preserve"> </w:t>
            </w:r>
            <w:proofErr w:type="spellStart"/>
            <w:r>
              <w:t>Indonesien</w:t>
            </w:r>
            <w:proofErr w:type="spellEnd"/>
            <w:r>
              <w:t xml:space="preserve"> Nr. 33/M-IND/PER/4/2007 </w:t>
            </w:r>
            <w:proofErr w:type="spellStart"/>
            <w:r>
              <w:t>datiert</w:t>
            </w:r>
            <w:proofErr w:type="spellEnd"/>
            <w:r>
              <w:t xml:space="preserve"> 17. April 2007</w:t>
            </w:r>
          </w:p>
        </w:tc>
      </w:tr>
      <w:tr w:rsidR="00DC0DF7" w:rsidRPr="008F266A" w14:paraId="01C3737C" w14:textId="77777777" w:rsidTr="00A37697">
        <w:trPr>
          <w:gridBefore w:val="1"/>
          <w:wBefore w:w="9" w:type="dxa"/>
          <w:cantSplit/>
        </w:trPr>
        <w:tc>
          <w:tcPr>
            <w:tcW w:w="2055" w:type="dxa"/>
          </w:tcPr>
          <w:p w14:paraId="01C37377" w14:textId="1B9EC7FB" w:rsidR="00DC0DF7" w:rsidRPr="00E5181A" w:rsidRDefault="00DC0DF7" w:rsidP="00DC0DF7">
            <w:pPr>
              <w:keepNext/>
              <w:keepLines/>
              <w:spacing w:before="120" w:after="120"/>
              <w:rPr>
                <w:color w:val="000000" w:themeColor="text1"/>
                <w:sz w:val="16"/>
                <w:szCs w:val="16"/>
              </w:rPr>
            </w:pPr>
            <w:r>
              <w:rPr>
                <w:color w:val="000000"/>
                <w:sz w:val="16"/>
                <w:szCs w:val="16"/>
              </w:rPr>
              <w:t xml:space="preserve">Perchlorate, </w:t>
            </w:r>
            <w:proofErr w:type="spellStart"/>
            <w:r>
              <w:rPr>
                <w:color w:val="000000"/>
                <w:sz w:val="16"/>
                <w:szCs w:val="16"/>
              </w:rPr>
              <w:t>insbesondere</w:t>
            </w:r>
            <w:proofErr w:type="spellEnd"/>
            <w:r>
              <w:rPr>
                <w:color w:val="000000"/>
                <w:sz w:val="16"/>
                <w:szCs w:val="16"/>
              </w:rPr>
              <w:t xml:space="preserve"> </w:t>
            </w:r>
            <w:proofErr w:type="spellStart"/>
            <w:r>
              <w:rPr>
                <w:color w:val="000000"/>
                <w:sz w:val="16"/>
                <w:szCs w:val="16"/>
              </w:rPr>
              <w:t>Lithiumperchlorat</w:t>
            </w:r>
            <w:proofErr w:type="spellEnd"/>
          </w:p>
        </w:tc>
        <w:tc>
          <w:tcPr>
            <w:tcW w:w="1094" w:type="dxa"/>
          </w:tcPr>
          <w:p w14:paraId="01C37378" w14:textId="55D134D7" w:rsidR="00DC0DF7" w:rsidRPr="00E5181A" w:rsidRDefault="00DC0DF7" w:rsidP="00DC0DF7">
            <w:pPr>
              <w:keepNext/>
              <w:keepLines/>
              <w:spacing w:before="120" w:after="120"/>
              <w:jc w:val="center"/>
              <w:rPr>
                <w:color w:val="000000" w:themeColor="text1"/>
                <w:sz w:val="16"/>
                <w:szCs w:val="16"/>
              </w:rPr>
            </w:pPr>
            <w:r>
              <w:rPr>
                <w:color w:val="000000"/>
                <w:sz w:val="16"/>
                <w:szCs w:val="16"/>
              </w:rPr>
              <w:t>7791-03-9</w:t>
            </w:r>
          </w:p>
        </w:tc>
        <w:tc>
          <w:tcPr>
            <w:tcW w:w="3959" w:type="dxa"/>
          </w:tcPr>
          <w:p w14:paraId="4F5F6CAF" w14:textId="77777777" w:rsidR="00DC0DF7" w:rsidRPr="00C175FC" w:rsidRDefault="00DC0DF7" w:rsidP="00DC0DF7">
            <w:pPr>
              <w:pStyle w:val="sBullet"/>
              <w:numPr>
                <w:ilvl w:val="0"/>
                <w:numId w:val="0"/>
              </w:numPr>
              <w:spacing w:before="120" w:after="120"/>
              <w:contextualSpacing w:val="0"/>
            </w:pPr>
            <w:proofErr w:type="spellStart"/>
            <w:r>
              <w:t>Standardmeldepflicht</w:t>
            </w:r>
            <w:proofErr w:type="spellEnd"/>
            <w:r>
              <w:t xml:space="preserve"> </w:t>
            </w:r>
            <w:proofErr w:type="spellStart"/>
            <w:r>
              <w:t>bei</w:t>
            </w:r>
            <w:proofErr w:type="spellEnd"/>
            <w:r>
              <w:t xml:space="preserve"> 0,0000006 </w:t>
            </w:r>
            <w:proofErr w:type="spellStart"/>
            <w:r>
              <w:t>Gewichts</w:t>
            </w:r>
            <w:proofErr w:type="spellEnd"/>
            <w:r>
              <w:t xml:space="preserve">-% (0,006 ppm) des </w:t>
            </w:r>
            <w:proofErr w:type="spellStart"/>
            <w:r>
              <w:t>Produkts</w:t>
            </w:r>
            <w:proofErr w:type="spellEnd"/>
            <w:r>
              <w:t xml:space="preserve">. </w:t>
            </w:r>
          </w:p>
          <w:p w14:paraId="01C3737A" w14:textId="1AD95676" w:rsidR="00DC0DF7" w:rsidRPr="00E5181A" w:rsidRDefault="00DC0DF7" w:rsidP="00DC0DF7">
            <w:pPr>
              <w:pStyle w:val="sBullet"/>
              <w:numPr>
                <w:ilvl w:val="0"/>
                <w:numId w:val="0"/>
              </w:numPr>
              <w:spacing w:before="120" w:after="120"/>
              <w:contextualSpacing w:val="0"/>
            </w:pPr>
            <w:r>
              <w:t xml:space="preserve">Bei </w:t>
            </w:r>
            <w:proofErr w:type="spellStart"/>
            <w:r>
              <w:t>Überschreitung</w:t>
            </w:r>
            <w:proofErr w:type="spellEnd"/>
            <w:r>
              <w:t xml:space="preserve"> dieses </w:t>
            </w:r>
            <w:proofErr w:type="spellStart"/>
            <w:r>
              <w:t>Wertes</w:t>
            </w:r>
            <w:proofErr w:type="spellEnd"/>
            <w:r>
              <w:t xml:space="preserve"> muss dem </w:t>
            </w:r>
            <w:proofErr w:type="spellStart"/>
            <w:r>
              <w:t>Produkt</w:t>
            </w:r>
            <w:proofErr w:type="spellEnd"/>
            <w:r>
              <w:t xml:space="preserve"> </w:t>
            </w:r>
            <w:proofErr w:type="spellStart"/>
            <w:r>
              <w:t>ein</w:t>
            </w:r>
            <w:proofErr w:type="spellEnd"/>
            <w:r>
              <w:t xml:space="preserve"> </w:t>
            </w:r>
            <w:proofErr w:type="spellStart"/>
            <w:r>
              <w:t>Hinweis</w:t>
            </w:r>
            <w:proofErr w:type="spellEnd"/>
            <w:r>
              <w:t xml:space="preserve"> </w:t>
            </w:r>
            <w:proofErr w:type="spellStart"/>
            <w:r>
              <w:t>beiliegen</w:t>
            </w:r>
            <w:proofErr w:type="spellEnd"/>
            <w:r>
              <w:t>.</w:t>
            </w:r>
          </w:p>
        </w:tc>
        <w:tc>
          <w:tcPr>
            <w:tcW w:w="2432" w:type="dxa"/>
            <w:gridSpan w:val="2"/>
          </w:tcPr>
          <w:p w14:paraId="01C3737B" w14:textId="2A060AD3" w:rsidR="00DC0DF7" w:rsidRPr="00E5181A" w:rsidRDefault="00DC0DF7" w:rsidP="00DC0DF7">
            <w:pPr>
              <w:keepNext/>
              <w:keepLines/>
              <w:spacing w:before="120" w:after="120"/>
              <w:rPr>
                <w:b/>
                <w:color w:val="000000" w:themeColor="text1"/>
                <w:sz w:val="16"/>
                <w:szCs w:val="16"/>
              </w:rPr>
            </w:pPr>
            <w:r>
              <w:rPr>
                <w:color w:val="000000"/>
                <w:sz w:val="16"/>
                <w:szCs w:val="16"/>
              </w:rPr>
              <w:t xml:space="preserve">USA </w:t>
            </w:r>
            <w:r>
              <w:rPr>
                <w:b/>
                <w:color w:val="000000"/>
                <w:sz w:val="16"/>
                <w:szCs w:val="16"/>
              </w:rPr>
              <w:t xml:space="preserve">- </w:t>
            </w:r>
            <w:r>
              <w:rPr>
                <w:rStyle w:val="Strong"/>
                <w:b w:val="0"/>
                <w:color w:val="000000"/>
                <w:sz w:val="16"/>
                <w:szCs w:val="16"/>
              </w:rPr>
              <w:t>California Code of Regulations, Title 22, Division 4.5, Chapter 33: Best Management Practices for Perchlorate Materials (</w:t>
            </w:r>
            <w:proofErr w:type="spellStart"/>
            <w:r>
              <w:rPr>
                <w:rStyle w:val="Strong"/>
                <w:b w:val="0"/>
                <w:color w:val="000000"/>
                <w:sz w:val="16"/>
                <w:szCs w:val="16"/>
              </w:rPr>
              <w:t>Beste</w:t>
            </w:r>
            <w:proofErr w:type="spellEnd"/>
            <w:r>
              <w:rPr>
                <w:rStyle w:val="Strong"/>
                <w:b w:val="0"/>
                <w:color w:val="000000"/>
                <w:sz w:val="16"/>
                <w:szCs w:val="16"/>
              </w:rPr>
              <w:t xml:space="preserve"> </w:t>
            </w:r>
            <w:proofErr w:type="spellStart"/>
            <w:r>
              <w:rPr>
                <w:rStyle w:val="Strong"/>
                <w:b w:val="0"/>
                <w:color w:val="000000"/>
                <w:sz w:val="16"/>
                <w:szCs w:val="16"/>
              </w:rPr>
              <w:t>Handhabungspraxis</w:t>
            </w:r>
            <w:proofErr w:type="spellEnd"/>
            <w:r>
              <w:rPr>
                <w:rStyle w:val="Strong"/>
                <w:b w:val="0"/>
                <w:color w:val="000000"/>
                <w:sz w:val="16"/>
                <w:szCs w:val="16"/>
              </w:rPr>
              <w:t xml:space="preserve"> </w:t>
            </w:r>
            <w:proofErr w:type="spellStart"/>
            <w:r>
              <w:rPr>
                <w:rStyle w:val="Strong"/>
                <w:b w:val="0"/>
                <w:color w:val="000000"/>
                <w:sz w:val="16"/>
                <w:szCs w:val="16"/>
              </w:rPr>
              <w:t>für</w:t>
            </w:r>
            <w:proofErr w:type="spellEnd"/>
            <w:r>
              <w:rPr>
                <w:rStyle w:val="Strong"/>
                <w:b w:val="0"/>
                <w:color w:val="000000"/>
                <w:sz w:val="16"/>
                <w:szCs w:val="16"/>
              </w:rPr>
              <w:t xml:space="preserve"> </w:t>
            </w:r>
            <w:proofErr w:type="spellStart"/>
            <w:r>
              <w:rPr>
                <w:rStyle w:val="Strong"/>
                <w:b w:val="0"/>
                <w:color w:val="000000"/>
                <w:sz w:val="16"/>
                <w:szCs w:val="16"/>
              </w:rPr>
              <w:t>Perchloratmaterialien</w:t>
            </w:r>
            <w:proofErr w:type="spellEnd"/>
            <w:r>
              <w:rPr>
                <w:rStyle w:val="Strong"/>
                <w:b w:val="0"/>
                <w:color w:val="000000"/>
                <w:sz w:val="16"/>
                <w:szCs w:val="16"/>
              </w:rPr>
              <w:t>)</w:t>
            </w:r>
          </w:p>
        </w:tc>
      </w:tr>
      <w:tr w:rsidR="00DC0DF7" w:rsidRPr="002A6DFD" w14:paraId="01C37388" w14:textId="77777777" w:rsidTr="00A37697">
        <w:trPr>
          <w:gridBefore w:val="1"/>
          <w:wBefore w:w="9" w:type="dxa"/>
          <w:cantSplit/>
        </w:trPr>
        <w:tc>
          <w:tcPr>
            <w:tcW w:w="2055" w:type="dxa"/>
          </w:tcPr>
          <w:p w14:paraId="3E990F05"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lastRenderedPageBreak/>
              <w:t>Perfluoroctansulfonat (PFOS) und PFOS-verwandte Stoffe</w:t>
            </w:r>
          </w:p>
          <w:p w14:paraId="01C3737E" w14:textId="10E2120E" w:rsidR="00DC0DF7" w:rsidRPr="002A6DFD" w:rsidRDefault="00DC0DF7" w:rsidP="00DC0DF7">
            <w:pPr>
              <w:keepNext/>
              <w:keepLines/>
              <w:spacing w:before="120" w:after="120"/>
              <w:rPr>
                <w:color w:val="000000" w:themeColor="text1"/>
                <w:sz w:val="16"/>
                <w:szCs w:val="16"/>
              </w:rPr>
            </w:pPr>
            <w:r>
              <w:rPr>
                <w:color w:val="000000"/>
                <w:sz w:val="16"/>
                <w:szCs w:val="16"/>
              </w:rPr>
              <w:t>Perfluorooctanoic Acid (PFOA)</w:t>
            </w:r>
          </w:p>
        </w:tc>
        <w:tc>
          <w:tcPr>
            <w:tcW w:w="1094" w:type="dxa"/>
          </w:tcPr>
          <w:p w14:paraId="01C3737F" w14:textId="37CE4CE9" w:rsidR="00DC0DF7" w:rsidRPr="002A6DFD"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6234CE6C" w14:textId="77777777" w:rsidR="00DC0DF7" w:rsidRPr="00C175FC" w:rsidRDefault="00DC0DF7" w:rsidP="00DC0DF7">
            <w:pPr>
              <w:pStyle w:val="sBullet"/>
              <w:numPr>
                <w:ilvl w:val="0"/>
                <w:numId w:val="0"/>
              </w:numPr>
              <w:spacing w:before="120" w:after="120"/>
              <w:contextualSpacing w:val="0"/>
            </w:pPr>
            <w:proofErr w:type="spellStart"/>
            <w:r>
              <w:t>Perfluoroctansulfonat</w:t>
            </w:r>
            <w:proofErr w:type="spellEnd"/>
            <w:r>
              <w:t xml:space="preserve"> (PFOS) C8F17SO2X (X = OH, </w:t>
            </w:r>
            <w:proofErr w:type="spellStart"/>
            <w:r>
              <w:t>Metallsalz</w:t>
            </w:r>
            <w:proofErr w:type="spellEnd"/>
            <w:r>
              <w:t xml:space="preserve"> (O-M+), Halide, Amide und </w:t>
            </w:r>
            <w:proofErr w:type="spellStart"/>
            <w:r>
              <w:t>andere</w:t>
            </w:r>
            <w:proofErr w:type="spellEnd"/>
            <w:r>
              <w:t xml:space="preserve"> Derivate </w:t>
            </w:r>
            <w:proofErr w:type="spellStart"/>
            <w:r>
              <w:t>inkl</w:t>
            </w:r>
            <w:proofErr w:type="spellEnd"/>
            <w:r>
              <w:t xml:space="preserve">. </w:t>
            </w:r>
            <w:proofErr w:type="spellStart"/>
            <w:r>
              <w:t>Polymere</w:t>
            </w:r>
            <w:proofErr w:type="spellEnd"/>
            <w:r>
              <w:t>):</w:t>
            </w:r>
          </w:p>
          <w:p w14:paraId="1EDFDDCE" w14:textId="77777777" w:rsidR="00DC0DF7" w:rsidRPr="00C175FC" w:rsidRDefault="00DC0DF7" w:rsidP="00C5606C">
            <w:pPr>
              <w:pStyle w:val="sBullet"/>
              <w:numPr>
                <w:ilvl w:val="0"/>
                <w:numId w:val="4"/>
              </w:numPr>
              <w:spacing w:before="120" w:after="120"/>
              <w:ind w:left="253" w:hanging="253"/>
              <w:contextualSpacing w:val="0"/>
            </w:pPr>
            <w:proofErr w:type="spellStart"/>
            <w:r>
              <w:t>Darf</w:t>
            </w:r>
            <w:proofErr w:type="spellEnd"/>
            <w:r>
              <w:t xml:space="preserve"> </w:t>
            </w:r>
            <w:proofErr w:type="spellStart"/>
            <w:r>
              <w:t>nicht</w:t>
            </w:r>
            <w:proofErr w:type="spellEnd"/>
            <w:r>
              <w:t xml:space="preserve"> in </w:t>
            </w:r>
            <w:proofErr w:type="spellStart"/>
            <w:r>
              <w:t>Konzentrationen</w:t>
            </w:r>
            <w:proofErr w:type="spellEnd"/>
            <w:r>
              <w:t xml:space="preserve"> von </w:t>
            </w:r>
            <w:proofErr w:type="spellStart"/>
            <w:r>
              <w:t>mehr</w:t>
            </w:r>
            <w:proofErr w:type="spellEnd"/>
            <w:r>
              <w:t xml:space="preserve"> </w:t>
            </w:r>
            <w:proofErr w:type="spellStart"/>
            <w:r>
              <w:t>als</w:t>
            </w:r>
            <w:proofErr w:type="spellEnd"/>
            <w:r>
              <w:t xml:space="preserve"> 0,1 </w:t>
            </w:r>
            <w:proofErr w:type="spellStart"/>
            <w:r>
              <w:t>Gewichts</w:t>
            </w:r>
            <w:proofErr w:type="spellEnd"/>
            <w:r>
              <w:t xml:space="preserve">-% (1000 ppm) in </w:t>
            </w:r>
            <w:proofErr w:type="spellStart"/>
            <w:r>
              <w:t>Teilen</w:t>
            </w:r>
            <w:proofErr w:type="spellEnd"/>
            <w:r>
              <w:t xml:space="preserve">, </w:t>
            </w:r>
            <w:proofErr w:type="spellStart"/>
            <w:r>
              <w:t>Komponenten</w:t>
            </w:r>
            <w:proofErr w:type="spellEnd"/>
            <w:r>
              <w:t xml:space="preserve"> </w:t>
            </w:r>
            <w:proofErr w:type="spellStart"/>
            <w:r>
              <w:t>oder</w:t>
            </w:r>
            <w:proofErr w:type="spellEnd"/>
            <w:r>
              <w:t xml:space="preserve"> </w:t>
            </w:r>
            <w:proofErr w:type="spellStart"/>
            <w:r>
              <w:t>Produkten</w:t>
            </w:r>
            <w:proofErr w:type="spellEnd"/>
            <w:r>
              <w:t xml:space="preserve"> </w:t>
            </w:r>
            <w:proofErr w:type="spellStart"/>
            <w:r>
              <w:t>verwendet</w:t>
            </w:r>
            <w:proofErr w:type="spellEnd"/>
            <w:r>
              <w:t xml:space="preserve"> </w:t>
            </w:r>
            <w:proofErr w:type="spellStart"/>
            <w:r>
              <w:t>werden</w:t>
            </w:r>
            <w:proofErr w:type="spellEnd"/>
            <w:r>
              <w:t xml:space="preserve">. </w:t>
            </w:r>
          </w:p>
          <w:p w14:paraId="0D4CDE2A" w14:textId="77777777" w:rsidR="00DC0DF7" w:rsidRPr="00C175FC" w:rsidRDefault="00DC0DF7" w:rsidP="00C5606C">
            <w:pPr>
              <w:pStyle w:val="sBullet"/>
              <w:numPr>
                <w:ilvl w:val="0"/>
                <w:numId w:val="4"/>
              </w:numPr>
              <w:spacing w:before="120" w:after="120"/>
              <w:ind w:left="253" w:hanging="253"/>
              <w:contextualSpacing w:val="0"/>
            </w:pPr>
            <w:r>
              <w:t xml:space="preserve">Die </w:t>
            </w:r>
            <w:proofErr w:type="spellStart"/>
            <w:r>
              <w:t>Konzentration</w:t>
            </w:r>
            <w:proofErr w:type="spellEnd"/>
            <w:r>
              <w:t xml:space="preserve"> </w:t>
            </w:r>
            <w:proofErr w:type="spellStart"/>
            <w:r>
              <w:t>für</w:t>
            </w:r>
            <w:proofErr w:type="spellEnd"/>
            <w:r>
              <w:t xml:space="preserve"> </w:t>
            </w:r>
            <w:proofErr w:type="spellStart"/>
            <w:r>
              <w:t>Textilien</w:t>
            </w:r>
            <w:proofErr w:type="spellEnd"/>
            <w:r>
              <w:t xml:space="preserve"> und </w:t>
            </w:r>
            <w:proofErr w:type="spellStart"/>
            <w:r>
              <w:t>andere</w:t>
            </w:r>
            <w:proofErr w:type="spellEnd"/>
            <w:r>
              <w:t xml:space="preserve"> </w:t>
            </w:r>
            <w:proofErr w:type="spellStart"/>
            <w:r>
              <w:t>beschichtete</w:t>
            </w:r>
            <w:proofErr w:type="spellEnd"/>
            <w:r>
              <w:t xml:space="preserve"> </w:t>
            </w:r>
            <w:proofErr w:type="spellStart"/>
            <w:r>
              <w:t>Materialien</w:t>
            </w:r>
            <w:proofErr w:type="spellEnd"/>
            <w:r>
              <w:t xml:space="preserve"> </w:t>
            </w:r>
            <w:proofErr w:type="spellStart"/>
            <w:r>
              <w:t>darf</w:t>
            </w:r>
            <w:proofErr w:type="spellEnd"/>
            <w:r>
              <w:t xml:space="preserve"> </w:t>
            </w:r>
            <w:proofErr w:type="spellStart"/>
            <w:r>
              <w:t>nicht</w:t>
            </w:r>
            <w:proofErr w:type="spellEnd"/>
            <w:r>
              <w:t xml:space="preserve"> </w:t>
            </w:r>
            <w:proofErr w:type="spellStart"/>
            <w:r>
              <w:t>höher</w:t>
            </w:r>
            <w:proofErr w:type="spellEnd"/>
            <w:r>
              <w:t xml:space="preserve"> </w:t>
            </w:r>
            <w:proofErr w:type="spellStart"/>
            <w:r>
              <w:t>als</w:t>
            </w:r>
            <w:proofErr w:type="spellEnd"/>
            <w:r>
              <w:t xml:space="preserve"> 1 </w:t>
            </w:r>
            <w:proofErr w:type="spellStart"/>
            <w:r>
              <w:t>μg</w:t>
            </w:r>
            <w:proofErr w:type="spellEnd"/>
            <w:r>
              <w:t>/m</w:t>
            </w:r>
            <w:r>
              <w:rPr>
                <w:vertAlign w:val="superscript"/>
              </w:rPr>
              <w:t>2</w:t>
            </w:r>
            <w:r>
              <w:t xml:space="preserve"> sein.</w:t>
            </w:r>
          </w:p>
          <w:p w14:paraId="58F398D2" w14:textId="77777777" w:rsidR="00DC0DF7" w:rsidRPr="00C175FC" w:rsidRDefault="00DC0DF7" w:rsidP="00C5606C">
            <w:pPr>
              <w:pStyle w:val="sBullet"/>
              <w:numPr>
                <w:ilvl w:val="0"/>
                <w:numId w:val="4"/>
              </w:numPr>
              <w:spacing w:before="120" w:after="120"/>
              <w:ind w:left="253" w:hanging="253"/>
              <w:contextualSpacing w:val="0"/>
            </w:pPr>
            <w:proofErr w:type="spellStart"/>
            <w:r>
              <w:t>Dürfen</w:t>
            </w:r>
            <w:proofErr w:type="spellEnd"/>
            <w:r>
              <w:t xml:space="preserve"> </w:t>
            </w:r>
            <w:proofErr w:type="spellStart"/>
            <w:r>
              <w:t>nicht</w:t>
            </w:r>
            <w:proofErr w:type="spellEnd"/>
            <w:r>
              <w:t xml:space="preserve"> auf den </w:t>
            </w:r>
            <w:proofErr w:type="spellStart"/>
            <w:r>
              <w:t>Markt</w:t>
            </w:r>
            <w:proofErr w:type="spellEnd"/>
            <w:r>
              <w:t xml:space="preserve"> </w:t>
            </w:r>
            <w:proofErr w:type="spellStart"/>
            <w:r>
              <w:t>gebracht</w:t>
            </w:r>
            <w:proofErr w:type="spellEnd"/>
            <w:r>
              <w:t xml:space="preserve"> </w:t>
            </w:r>
            <w:proofErr w:type="spellStart"/>
            <w:r>
              <w:t>oder</w:t>
            </w:r>
            <w:proofErr w:type="spellEnd"/>
            <w:r>
              <w:t xml:space="preserve"> </w:t>
            </w:r>
            <w:proofErr w:type="spellStart"/>
            <w:r>
              <w:t>als</w:t>
            </w:r>
            <w:proofErr w:type="spellEnd"/>
            <w:r>
              <w:t xml:space="preserve"> Stoff </w:t>
            </w:r>
            <w:proofErr w:type="spellStart"/>
            <w:r>
              <w:t>oder</w:t>
            </w:r>
            <w:proofErr w:type="spellEnd"/>
            <w:r>
              <w:t xml:space="preserve"> </w:t>
            </w:r>
            <w:proofErr w:type="spellStart"/>
            <w:r>
              <w:t>Bestandteil</w:t>
            </w:r>
            <w:proofErr w:type="spellEnd"/>
            <w:r>
              <w:t xml:space="preserve"> in </w:t>
            </w:r>
            <w:proofErr w:type="spellStart"/>
            <w:r>
              <w:t>Zubereitungen</w:t>
            </w:r>
            <w:proofErr w:type="spellEnd"/>
            <w:r>
              <w:t xml:space="preserve"> in </w:t>
            </w:r>
            <w:proofErr w:type="spellStart"/>
            <w:r>
              <w:t>Konzentrationen</w:t>
            </w:r>
            <w:proofErr w:type="spellEnd"/>
            <w:r>
              <w:t xml:space="preserve"> von 0,005 </w:t>
            </w:r>
            <w:proofErr w:type="spellStart"/>
            <w:r>
              <w:t>Gewichts</w:t>
            </w:r>
            <w:proofErr w:type="spellEnd"/>
            <w:r>
              <w:t xml:space="preserve">-% (50 ppm) </w:t>
            </w:r>
            <w:proofErr w:type="spellStart"/>
            <w:r>
              <w:t>oder</w:t>
            </w:r>
            <w:proofErr w:type="spellEnd"/>
            <w:r>
              <w:t xml:space="preserve"> </w:t>
            </w:r>
            <w:proofErr w:type="spellStart"/>
            <w:r>
              <w:t>höher</w:t>
            </w:r>
            <w:proofErr w:type="spellEnd"/>
            <w:r>
              <w:t xml:space="preserve"> </w:t>
            </w:r>
            <w:proofErr w:type="spellStart"/>
            <w:r>
              <w:t>verwendet</w:t>
            </w:r>
            <w:proofErr w:type="spellEnd"/>
            <w:r>
              <w:t xml:space="preserve"> </w:t>
            </w:r>
            <w:proofErr w:type="spellStart"/>
            <w:r>
              <w:t>werden</w:t>
            </w:r>
            <w:proofErr w:type="spellEnd"/>
            <w:r>
              <w:t>.</w:t>
            </w:r>
          </w:p>
          <w:p w14:paraId="143A8689" w14:textId="77777777" w:rsidR="00DC0DF7" w:rsidRPr="00C175FC" w:rsidRDefault="00DC0DF7" w:rsidP="00DC0DF7">
            <w:pPr>
              <w:pStyle w:val="sBullet"/>
              <w:numPr>
                <w:ilvl w:val="0"/>
                <w:numId w:val="0"/>
              </w:numPr>
              <w:spacing w:before="120" w:after="120"/>
              <w:contextualSpacing w:val="0"/>
            </w:pPr>
            <w:proofErr w:type="spellStart"/>
            <w:r>
              <w:t>Ausnahmen</w:t>
            </w:r>
            <w:proofErr w:type="spellEnd"/>
            <w:r>
              <w:t xml:space="preserve"> </w:t>
            </w:r>
            <w:proofErr w:type="spellStart"/>
            <w:r>
              <w:t>möglich</w:t>
            </w:r>
            <w:proofErr w:type="spellEnd"/>
            <w:r>
              <w:t xml:space="preserve">, </w:t>
            </w:r>
            <w:proofErr w:type="spellStart"/>
            <w:r>
              <w:t>siehe</w:t>
            </w:r>
            <w:proofErr w:type="spellEnd"/>
            <w:r>
              <w:t xml:space="preserve"> </w:t>
            </w:r>
            <w:proofErr w:type="spellStart"/>
            <w:r>
              <w:t>Referenzen</w:t>
            </w:r>
            <w:proofErr w:type="spellEnd"/>
            <w:r>
              <w:t>.</w:t>
            </w:r>
          </w:p>
          <w:p w14:paraId="01C37385" w14:textId="2447EBDF" w:rsidR="00DC0DF7" w:rsidRPr="002A6DFD" w:rsidRDefault="00DC0DF7" w:rsidP="00DC0DF7">
            <w:pPr>
              <w:pStyle w:val="sBullet"/>
              <w:numPr>
                <w:ilvl w:val="0"/>
                <w:numId w:val="0"/>
              </w:numPr>
              <w:spacing w:before="120" w:after="120"/>
              <w:contextualSpacing w:val="0"/>
            </w:pPr>
            <w:r>
              <w:t xml:space="preserve">PFOA </w:t>
            </w:r>
            <w:proofErr w:type="spellStart"/>
            <w:r>
              <w:t>ist</w:t>
            </w:r>
            <w:proofErr w:type="spellEnd"/>
            <w:r>
              <w:t xml:space="preserve"> </w:t>
            </w:r>
            <w:proofErr w:type="spellStart"/>
            <w:r>
              <w:t>eine</w:t>
            </w:r>
            <w:proofErr w:type="spellEnd"/>
            <w:r>
              <w:t xml:space="preserve"> REACH SVHC und </w:t>
            </w:r>
            <w:proofErr w:type="spellStart"/>
            <w:r>
              <w:t>wird</w:t>
            </w:r>
            <w:proofErr w:type="spellEnd"/>
            <w:r>
              <w:t xml:space="preserve"> </w:t>
            </w:r>
            <w:proofErr w:type="spellStart"/>
            <w:r>
              <w:t>derzeit</w:t>
            </w:r>
            <w:proofErr w:type="spellEnd"/>
            <w:r>
              <w:t xml:space="preserve"> auf </w:t>
            </w:r>
            <w:proofErr w:type="spellStart"/>
            <w:r>
              <w:t>Risiken</w:t>
            </w:r>
            <w:proofErr w:type="spellEnd"/>
            <w:r>
              <w:t xml:space="preserve"> </w:t>
            </w:r>
            <w:proofErr w:type="spellStart"/>
            <w:r>
              <w:t>untersucht</w:t>
            </w:r>
            <w:proofErr w:type="spellEnd"/>
            <w:r>
              <w:t xml:space="preserve">, die den PFOS </w:t>
            </w:r>
            <w:proofErr w:type="spellStart"/>
            <w:r>
              <w:t>ähneln</w:t>
            </w:r>
            <w:proofErr w:type="spellEnd"/>
            <w:r>
              <w:t xml:space="preserve">, und </w:t>
            </w:r>
            <w:proofErr w:type="spellStart"/>
            <w:r>
              <w:t>sollte</w:t>
            </w:r>
            <w:proofErr w:type="spellEnd"/>
            <w:r>
              <w:t xml:space="preserve"> </w:t>
            </w:r>
            <w:proofErr w:type="spellStart"/>
            <w:r>
              <w:t>deshalb</w:t>
            </w:r>
            <w:proofErr w:type="spellEnd"/>
            <w:r>
              <w:t xml:space="preserve"> </w:t>
            </w:r>
            <w:proofErr w:type="spellStart"/>
            <w:r>
              <w:t>ähnlich</w:t>
            </w:r>
            <w:proofErr w:type="spellEnd"/>
            <w:r>
              <w:t xml:space="preserve"> </w:t>
            </w:r>
            <w:proofErr w:type="spellStart"/>
            <w:r>
              <w:t>behandelt</w:t>
            </w:r>
            <w:proofErr w:type="spellEnd"/>
            <w:r>
              <w:t xml:space="preserve"> </w:t>
            </w:r>
            <w:proofErr w:type="spellStart"/>
            <w:r>
              <w:t>werden</w:t>
            </w:r>
            <w:proofErr w:type="spellEnd"/>
            <w:r>
              <w:t xml:space="preserve">; </w:t>
            </w:r>
            <w:proofErr w:type="spellStart"/>
            <w:r>
              <w:t>für</w:t>
            </w:r>
            <w:proofErr w:type="spellEnd"/>
            <w:r>
              <w:t xml:space="preserve"> </w:t>
            </w:r>
            <w:proofErr w:type="spellStart"/>
            <w:r>
              <w:t>einige</w:t>
            </w:r>
            <w:proofErr w:type="spellEnd"/>
            <w:r>
              <w:t xml:space="preserve"> </w:t>
            </w:r>
            <w:proofErr w:type="spellStart"/>
            <w:r>
              <w:t>Produkte</w:t>
            </w:r>
            <w:proofErr w:type="spellEnd"/>
            <w:r>
              <w:t xml:space="preserve"> </w:t>
            </w:r>
            <w:proofErr w:type="spellStart"/>
            <w:r>
              <w:t>liegen</w:t>
            </w:r>
            <w:proofErr w:type="spellEnd"/>
            <w:r>
              <w:t xml:space="preserve"> </w:t>
            </w:r>
            <w:proofErr w:type="spellStart"/>
            <w:r>
              <w:t>bereits</w:t>
            </w:r>
            <w:proofErr w:type="spellEnd"/>
            <w:r>
              <w:t xml:space="preserve"> </w:t>
            </w:r>
            <w:proofErr w:type="spellStart"/>
            <w:r>
              <w:t>Einschränkungen</w:t>
            </w:r>
            <w:proofErr w:type="spellEnd"/>
            <w:r>
              <w:t xml:space="preserve"> in </w:t>
            </w:r>
            <w:proofErr w:type="spellStart"/>
            <w:r>
              <w:t>Norwegen</w:t>
            </w:r>
            <w:proofErr w:type="spellEnd"/>
            <w:r>
              <w:t xml:space="preserve"> </w:t>
            </w:r>
            <w:proofErr w:type="spellStart"/>
            <w:r>
              <w:t>vor</w:t>
            </w:r>
            <w:proofErr w:type="spellEnd"/>
            <w:r>
              <w:t>.</w:t>
            </w:r>
          </w:p>
        </w:tc>
        <w:tc>
          <w:tcPr>
            <w:tcW w:w="2432" w:type="dxa"/>
            <w:gridSpan w:val="2"/>
          </w:tcPr>
          <w:p w14:paraId="3E1FAC83"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1907/2006/EG </w:t>
            </w:r>
            <w:proofErr w:type="spellStart"/>
            <w:r>
              <w:t>Anhang</w:t>
            </w:r>
            <w:proofErr w:type="spellEnd"/>
            <w:r>
              <w:t xml:space="preserve"> 11 und </w:t>
            </w:r>
            <w:proofErr w:type="spellStart"/>
            <w:r>
              <w:t>Ergänzungen</w:t>
            </w:r>
            <w:proofErr w:type="spellEnd"/>
          </w:p>
          <w:p w14:paraId="6029F8ED" w14:textId="77777777" w:rsidR="00DC0DF7" w:rsidRPr="00C175FC" w:rsidRDefault="00DC0DF7" w:rsidP="00DC0DF7">
            <w:pPr>
              <w:pStyle w:val="sBullet"/>
              <w:numPr>
                <w:ilvl w:val="0"/>
                <w:numId w:val="0"/>
              </w:numPr>
              <w:spacing w:before="120" w:after="120"/>
              <w:contextualSpacing w:val="0"/>
            </w:pPr>
            <w:proofErr w:type="spellStart"/>
            <w:r>
              <w:t>Nordostatlantik</w:t>
            </w:r>
            <w:proofErr w:type="spellEnd"/>
            <w:r>
              <w:t xml:space="preserve"> – OSPAR</w:t>
            </w:r>
          </w:p>
          <w:p w14:paraId="01C37387" w14:textId="453F860C" w:rsidR="00DC0DF7" w:rsidRPr="002A6DFD" w:rsidRDefault="00DC0DF7" w:rsidP="00DC0DF7">
            <w:pPr>
              <w:pStyle w:val="sBullet"/>
              <w:numPr>
                <w:ilvl w:val="0"/>
                <w:numId w:val="0"/>
              </w:numPr>
              <w:spacing w:before="120" w:after="120"/>
              <w:contextualSpacing w:val="0"/>
            </w:pPr>
            <w:proofErr w:type="spellStart"/>
            <w:r>
              <w:t>Norwegen</w:t>
            </w:r>
            <w:proofErr w:type="spellEnd"/>
            <w:r>
              <w:t xml:space="preserve"> – </w:t>
            </w:r>
            <w:proofErr w:type="spellStart"/>
            <w:r>
              <w:t>Verordnung</w:t>
            </w:r>
            <w:proofErr w:type="spellEnd"/>
            <w:r>
              <w:t xml:space="preserve">  </w:t>
            </w:r>
          </w:p>
        </w:tc>
      </w:tr>
      <w:tr w:rsidR="00DC0DF7" w:rsidRPr="00CA64FE" w14:paraId="01C3738D" w14:textId="77777777" w:rsidTr="00A37697">
        <w:trPr>
          <w:gridBefore w:val="1"/>
          <w:wBefore w:w="9" w:type="dxa"/>
          <w:cantSplit/>
        </w:trPr>
        <w:tc>
          <w:tcPr>
            <w:tcW w:w="2055" w:type="dxa"/>
          </w:tcPr>
          <w:p w14:paraId="01C37389" w14:textId="59ED44CD" w:rsidR="00DC0DF7" w:rsidRPr="00CA64FE" w:rsidRDefault="00DC0DF7" w:rsidP="00DC0DF7">
            <w:pPr>
              <w:keepNext/>
              <w:keepLines/>
              <w:spacing w:before="120" w:after="120"/>
              <w:rPr>
                <w:color w:val="000000" w:themeColor="text1"/>
                <w:sz w:val="16"/>
                <w:szCs w:val="16"/>
              </w:rPr>
            </w:pPr>
            <w:r>
              <w:rPr>
                <w:color w:val="000000"/>
                <w:sz w:val="16"/>
                <w:szCs w:val="16"/>
              </w:rPr>
              <w:t>Phenol,2-(2H-benzotriazol-2-yl)-4,6-bis(1,1-dimethylethyl)</w:t>
            </w:r>
          </w:p>
        </w:tc>
        <w:tc>
          <w:tcPr>
            <w:tcW w:w="1094" w:type="dxa"/>
          </w:tcPr>
          <w:p w14:paraId="01C3738A" w14:textId="78AC07F7" w:rsidR="00DC0DF7" w:rsidRPr="00CA64FE" w:rsidRDefault="00DC0DF7" w:rsidP="00DC0DF7">
            <w:pPr>
              <w:keepNext/>
              <w:keepLines/>
              <w:spacing w:before="120" w:after="120"/>
              <w:jc w:val="center"/>
              <w:rPr>
                <w:color w:val="000000" w:themeColor="text1"/>
                <w:sz w:val="16"/>
                <w:szCs w:val="16"/>
              </w:rPr>
            </w:pPr>
            <w:r>
              <w:rPr>
                <w:color w:val="000000"/>
                <w:sz w:val="16"/>
                <w:szCs w:val="16"/>
              </w:rPr>
              <w:t>3846-71-7</w:t>
            </w:r>
          </w:p>
        </w:tc>
        <w:tc>
          <w:tcPr>
            <w:tcW w:w="3959" w:type="dxa"/>
          </w:tcPr>
          <w:p w14:paraId="01C3738B" w14:textId="62FBADB5" w:rsidR="00DC0DF7" w:rsidRPr="00CA64FE" w:rsidRDefault="00DC0DF7" w:rsidP="00DC0DF7">
            <w:pPr>
              <w:pStyle w:val="sBullet"/>
              <w:numPr>
                <w:ilvl w:val="0"/>
                <w:numId w:val="0"/>
              </w:numPr>
              <w:spacing w:before="120" w:after="120"/>
              <w:contextualSpacing w:val="0"/>
            </w:pPr>
            <w:proofErr w:type="spellStart"/>
            <w:r>
              <w:t>Darf</w:t>
            </w:r>
            <w:proofErr w:type="spellEnd"/>
            <w:r>
              <w:t xml:space="preserve"> </w:t>
            </w:r>
            <w:proofErr w:type="spellStart"/>
            <w:r>
              <w:t>nicht</w:t>
            </w:r>
            <w:proofErr w:type="spellEnd"/>
            <w:r>
              <w:t xml:space="preserve"> </w:t>
            </w:r>
            <w:proofErr w:type="spellStart"/>
            <w:r>
              <w:t>verwendet</w:t>
            </w:r>
            <w:proofErr w:type="spellEnd"/>
            <w:r>
              <w:t xml:space="preserve"> </w:t>
            </w:r>
            <w:proofErr w:type="spellStart"/>
            <w:r>
              <w:t>werden</w:t>
            </w:r>
            <w:proofErr w:type="spellEnd"/>
            <w:r>
              <w:t>.</w:t>
            </w:r>
          </w:p>
        </w:tc>
        <w:tc>
          <w:tcPr>
            <w:tcW w:w="2432" w:type="dxa"/>
            <w:gridSpan w:val="2"/>
          </w:tcPr>
          <w:p w14:paraId="01C3738C" w14:textId="01CD5911" w:rsidR="00DC0DF7" w:rsidRPr="00CA64FE" w:rsidRDefault="00DC0DF7" w:rsidP="00DC0DF7">
            <w:pPr>
              <w:keepNext/>
              <w:keepLines/>
              <w:spacing w:before="120" w:after="120"/>
              <w:rPr>
                <w:color w:val="000000" w:themeColor="text1"/>
                <w:sz w:val="16"/>
                <w:szCs w:val="16"/>
              </w:rPr>
            </w:pPr>
            <w:r w:rsidRPr="004E46E3">
              <w:rPr>
                <w:color w:val="000000"/>
                <w:sz w:val="16"/>
                <w:szCs w:val="16"/>
                <w:lang w:val="de-DE"/>
              </w:rPr>
              <w:t>Japan - Gesetz für die Untersuchung und Regulierung der Herstellung von chemischen Stoffen, Klasse I</w:t>
            </w:r>
          </w:p>
        </w:tc>
      </w:tr>
      <w:tr w:rsidR="00DC0DF7" w:rsidRPr="00CA64FE" w14:paraId="01C37393" w14:textId="77777777" w:rsidTr="003D5B90">
        <w:trPr>
          <w:gridBefore w:val="1"/>
          <w:wBefore w:w="9" w:type="dxa"/>
          <w:cantSplit/>
        </w:trPr>
        <w:tc>
          <w:tcPr>
            <w:tcW w:w="2055" w:type="dxa"/>
          </w:tcPr>
          <w:p w14:paraId="01C3738E" w14:textId="1DFCA7BA" w:rsidR="00DC0DF7" w:rsidRPr="00CA64FE" w:rsidRDefault="00DC0DF7" w:rsidP="00DC0DF7">
            <w:pPr>
              <w:keepNext/>
              <w:keepLines/>
              <w:spacing w:before="120" w:after="120"/>
              <w:rPr>
                <w:color w:val="000000" w:themeColor="text1"/>
                <w:sz w:val="16"/>
                <w:szCs w:val="16"/>
              </w:rPr>
            </w:pPr>
            <w:proofErr w:type="spellStart"/>
            <w:r>
              <w:rPr>
                <w:color w:val="000000"/>
                <w:sz w:val="16"/>
                <w:szCs w:val="16"/>
              </w:rPr>
              <w:t>Phthalsäureester</w:t>
            </w:r>
            <w:proofErr w:type="spellEnd"/>
          </w:p>
        </w:tc>
        <w:tc>
          <w:tcPr>
            <w:tcW w:w="1094" w:type="dxa"/>
          </w:tcPr>
          <w:p w14:paraId="01C3738F" w14:textId="2A848151"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shd w:val="clear" w:color="auto" w:fill="auto"/>
          </w:tcPr>
          <w:p w14:paraId="546CC022" w14:textId="759D219A" w:rsidR="001913BE" w:rsidRPr="003D5B90" w:rsidRDefault="00DC0DF7" w:rsidP="003D5B90">
            <w:pPr>
              <w:pStyle w:val="HTMLPreformatted"/>
              <w:rPr>
                <w:rFonts w:ascii="Arial" w:hAnsi="Arial" w:cs="Arial"/>
                <w:color w:val="222222"/>
                <w:sz w:val="16"/>
                <w:szCs w:val="16"/>
              </w:rPr>
            </w:pPr>
            <w:proofErr w:type="spellStart"/>
            <w:r w:rsidRPr="003D5B90">
              <w:rPr>
                <w:rFonts w:ascii="Arial" w:hAnsi="Arial" w:cs="Arial"/>
                <w:sz w:val="16"/>
                <w:szCs w:val="16"/>
              </w:rPr>
              <w:t>Zusätzlich</w:t>
            </w:r>
            <w:proofErr w:type="spellEnd"/>
            <w:r w:rsidRPr="003D5B90">
              <w:rPr>
                <w:rFonts w:ascii="Arial" w:hAnsi="Arial" w:cs="Arial"/>
                <w:sz w:val="16"/>
                <w:szCs w:val="16"/>
              </w:rPr>
              <w:t xml:space="preserve"> </w:t>
            </w:r>
            <w:proofErr w:type="spellStart"/>
            <w:r w:rsidRPr="003D5B90">
              <w:rPr>
                <w:rFonts w:ascii="Arial" w:hAnsi="Arial" w:cs="Arial"/>
                <w:sz w:val="16"/>
                <w:szCs w:val="16"/>
              </w:rPr>
              <w:t>zu</w:t>
            </w:r>
            <w:proofErr w:type="spellEnd"/>
            <w:r w:rsidRPr="003D5B90">
              <w:rPr>
                <w:rFonts w:ascii="Arial" w:hAnsi="Arial" w:cs="Arial"/>
                <w:sz w:val="16"/>
                <w:szCs w:val="16"/>
              </w:rPr>
              <w:t xml:space="preserve"> </w:t>
            </w:r>
            <w:r w:rsidR="001913BE" w:rsidRPr="003D5B90">
              <w:rPr>
                <w:rFonts w:ascii="Arial" w:hAnsi="Arial" w:cs="Arial"/>
                <w:color w:val="222222"/>
                <w:sz w:val="16"/>
                <w:szCs w:val="16"/>
                <w:lang w:val="de-DE"/>
              </w:rPr>
              <w:t>den RoHS-Beschränkungen</w:t>
            </w:r>
            <w:r w:rsidR="003D5B90">
              <w:rPr>
                <w:rFonts w:ascii="Arial" w:hAnsi="Arial" w:cs="Arial"/>
                <w:color w:val="222222"/>
                <w:sz w:val="16"/>
                <w:szCs w:val="16"/>
                <w:lang w:val="de-DE"/>
              </w:rPr>
              <w:t xml:space="preserve"> und</w:t>
            </w:r>
          </w:p>
          <w:p w14:paraId="01C37390" w14:textId="1B757199" w:rsidR="00DC0DF7" w:rsidRPr="003D5B90" w:rsidRDefault="00DC0DF7" w:rsidP="003D5B90">
            <w:pPr>
              <w:pStyle w:val="sBullet"/>
              <w:numPr>
                <w:ilvl w:val="0"/>
                <w:numId w:val="0"/>
              </w:numPr>
              <w:spacing w:after="120"/>
              <w:contextualSpacing w:val="0"/>
            </w:pPr>
            <w:r w:rsidRPr="003D5B90">
              <w:t xml:space="preserve">den </w:t>
            </w:r>
            <w:proofErr w:type="spellStart"/>
            <w:r w:rsidRPr="003D5B90">
              <w:t>Meldeanforderungen</w:t>
            </w:r>
            <w:proofErr w:type="spellEnd"/>
            <w:r w:rsidRPr="003D5B90">
              <w:t xml:space="preserve"> und den </w:t>
            </w:r>
            <w:proofErr w:type="spellStart"/>
            <w:r w:rsidRPr="003D5B90">
              <w:t>Ablaufterminen</w:t>
            </w:r>
            <w:proofErr w:type="spellEnd"/>
            <w:r w:rsidRPr="003D5B90">
              <w:t xml:space="preserve"> </w:t>
            </w:r>
            <w:proofErr w:type="spellStart"/>
            <w:r w:rsidRPr="003D5B90">
              <w:t>für</w:t>
            </w:r>
            <w:proofErr w:type="spellEnd"/>
            <w:r w:rsidRPr="003D5B90">
              <w:t xml:space="preserve"> die </w:t>
            </w:r>
            <w:proofErr w:type="spellStart"/>
            <w:r w:rsidRPr="003D5B90">
              <w:t>angegebenen</w:t>
            </w:r>
            <w:proofErr w:type="spellEnd"/>
            <w:r w:rsidRPr="003D5B90">
              <w:t xml:space="preserve"> </w:t>
            </w:r>
            <w:proofErr w:type="spellStart"/>
            <w:r w:rsidRPr="003D5B90">
              <w:t>Phthalsäureester</w:t>
            </w:r>
            <w:proofErr w:type="spellEnd"/>
            <w:r w:rsidRPr="003D5B90">
              <w:t xml:space="preserve"> </w:t>
            </w:r>
            <w:proofErr w:type="spellStart"/>
            <w:r w:rsidRPr="003D5B90">
              <w:t>nach</w:t>
            </w:r>
            <w:proofErr w:type="spellEnd"/>
            <w:r w:rsidRPr="003D5B90">
              <w:t xml:space="preserve"> REACH SVHC </w:t>
            </w:r>
            <w:proofErr w:type="spellStart"/>
            <w:r w:rsidRPr="003D5B90">
              <w:t>werden</w:t>
            </w:r>
            <w:proofErr w:type="spellEnd"/>
            <w:r w:rsidRPr="003D5B90">
              <w:t xml:space="preserve"> </w:t>
            </w:r>
            <w:proofErr w:type="spellStart"/>
            <w:r w:rsidRPr="003D5B90">
              <w:t>verschiedene</w:t>
            </w:r>
            <w:proofErr w:type="spellEnd"/>
            <w:r w:rsidRPr="003D5B90">
              <w:t xml:space="preserve"> </w:t>
            </w:r>
            <w:proofErr w:type="spellStart"/>
            <w:r w:rsidRPr="003D5B90">
              <w:t>Regionen</w:t>
            </w:r>
            <w:proofErr w:type="spellEnd"/>
            <w:r w:rsidRPr="003D5B90">
              <w:t xml:space="preserve"> </w:t>
            </w:r>
            <w:proofErr w:type="spellStart"/>
            <w:r w:rsidRPr="003D5B90">
              <w:t>zusätzlich</w:t>
            </w:r>
            <w:proofErr w:type="spellEnd"/>
            <w:r w:rsidRPr="003D5B90">
              <w:t xml:space="preserve"> </w:t>
            </w:r>
            <w:proofErr w:type="spellStart"/>
            <w:r w:rsidRPr="003D5B90">
              <w:t>Einschränkungen</w:t>
            </w:r>
            <w:proofErr w:type="spellEnd"/>
            <w:r w:rsidRPr="003D5B90">
              <w:t xml:space="preserve"> </w:t>
            </w:r>
            <w:proofErr w:type="spellStart"/>
            <w:r w:rsidRPr="003D5B90">
              <w:t>für</w:t>
            </w:r>
            <w:proofErr w:type="spellEnd"/>
            <w:r w:rsidRPr="003D5B90">
              <w:t xml:space="preserve"> die </w:t>
            </w:r>
            <w:proofErr w:type="spellStart"/>
            <w:r w:rsidRPr="003D5B90">
              <w:t>Phthalverwendung</w:t>
            </w:r>
            <w:proofErr w:type="spellEnd"/>
            <w:r w:rsidRPr="003D5B90">
              <w:t xml:space="preserve"> in </w:t>
            </w:r>
            <w:proofErr w:type="spellStart"/>
            <w:r w:rsidRPr="003D5B90">
              <w:t>Produkten</w:t>
            </w:r>
            <w:proofErr w:type="spellEnd"/>
            <w:r w:rsidRPr="003D5B90">
              <w:t xml:space="preserve"> </w:t>
            </w:r>
            <w:proofErr w:type="spellStart"/>
            <w:r w:rsidRPr="003D5B90">
              <w:t>erstellen</w:t>
            </w:r>
            <w:proofErr w:type="spellEnd"/>
            <w:r w:rsidRPr="003D5B90">
              <w:t xml:space="preserve">. Die </w:t>
            </w:r>
            <w:proofErr w:type="spellStart"/>
            <w:r w:rsidRPr="003D5B90">
              <w:t>Verwendung</w:t>
            </w:r>
            <w:proofErr w:type="spellEnd"/>
            <w:r w:rsidRPr="003D5B90">
              <w:t xml:space="preserve"> von </w:t>
            </w:r>
            <w:proofErr w:type="spellStart"/>
            <w:r w:rsidRPr="003D5B90">
              <w:t>Phthalsäureester</w:t>
            </w:r>
            <w:proofErr w:type="spellEnd"/>
            <w:r w:rsidRPr="003D5B90">
              <w:t xml:space="preserve"> in </w:t>
            </w:r>
            <w:proofErr w:type="spellStart"/>
            <w:r w:rsidRPr="003D5B90">
              <w:t>höheren</w:t>
            </w:r>
            <w:proofErr w:type="spellEnd"/>
            <w:r w:rsidRPr="003D5B90">
              <w:t xml:space="preserve"> </w:t>
            </w:r>
            <w:proofErr w:type="spellStart"/>
            <w:r w:rsidRPr="003D5B90">
              <w:t>Konzentrationen</w:t>
            </w:r>
            <w:proofErr w:type="spellEnd"/>
            <w:r w:rsidRPr="003D5B90">
              <w:t xml:space="preserve"> </w:t>
            </w:r>
            <w:proofErr w:type="spellStart"/>
            <w:r w:rsidRPr="003D5B90">
              <w:t>als</w:t>
            </w:r>
            <w:proofErr w:type="spellEnd"/>
            <w:r w:rsidRPr="003D5B90">
              <w:t xml:space="preserve"> 0,1 </w:t>
            </w:r>
            <w:proofErr w:type="spellStart"/>
            <w:r w:rsidRPr="003D5B90">
              <w:t>Gewichts</w:t>
            </w:r>
            <w:proofErr w:type="spellEnd"/>
            <w:r w:rsidRPr="003D5B90">
              <w:t xml:space="preserve">-% </w:t>
            </w:r>
            <w:proofErr w:type="spellStart"/>
            <w:r w:rsidRPr="003D5B90">
              <w:t>sollte</w:t>
            </w:r>
            <w:proofErr w:type="spellEnd"/>
            <w:r w:rsidRPr="003D5B90">
              <w:t xml:space="preserve"> </w:t>
            </w:r>
            <w:proofErr w:type="spellStart"/>
            <w:r w:rsidRPr="003D5B90">
              <w:t>vermieden</w:t>
            </w:r>
            <w:proofErr w:type="spellEnd"/>
            <w:r w:rsidRPr="003D5B90">
              <w:t xml:space="preserve"> </w:t>
            </w:r>
            <w:proofErr w:type="spellStart"/>
            <w:r w:rsidRPr="003D5B90">
              <w:t>werden</w:t>
            </w:r>
            <w:proofErr w:type="spellEnd"/>
            <w:r w:rsidRPr="003D5B90">
              <w:t xml:space="preserve">, um </w:t>
            </w:r>
            <w:proofErr w:type="spellStart"/>
            <w:r w:rsidRPr="003D5B90">
              <w:t>Risikobedenken</w:t>
            </w:r>
            <w:proofErr w:type="spellEnd"/>
            <w:r w:rsidRPr="003D5B90">
              <w:t xml:space="preserve"> </w:t>
            </w:r>
            <w:proofErr w:type="spellStart"/>
            <w:r w:rsidRPr="003D5B90">
              <w:t>zu</w:t>
            </w:r>
            <w:proofErr w:type="spellEnd"/>
            <w:r w:rsidRPr="003D5B90">
              <w:t xml:space="preserve"> </w:t>
            </w:r>
            <w:proofErr w:type="spellStart"/>
            <w:r w:rsidRPr="003D5B90">
              <w:t>minimieren</w:t>
            </w:r>
            <w:proofErr w:type="spellEnd"/>
            <w:r w:rsidRPr="003D5B90">
              <w:t xml:space="preserve">, </w:t>
            </w:r>
            <w:proofErr w:type="spellStart"/>
            <w:r w:rsidRPr="003D5B90">
              <w:t>selbst</w:t>
            </w:r>
            <w:proofErr w:type="spellEnd"/>
            <w:r w:rsidRPr="003D5B90">
              <w:t xml:space="preserve"> </w:t>
            </w:r>
            <w:proofErr w:type="spellStart"/>
            <w:r w:rsidRPr="003D5B90">
              <w:t>wenn</w:t>
            </w:r>
            <w:proofErr w:type="spellEnd"/>
            <w:r w:rsidRPr="003D5B90">
              <w:t xml:space="preserve"> </w:t>
            </w:r>
            <w:proofErr w:type="spellStart"/>
            <w:r w:rsidRPr="003D5B90">
              <w:t>diese</w:t>
            </w:r>
            <w:proofErr w:type="spellEnd"/>
            <w:r w:rsidRPr="003D5B90">
              <w:t xml:space="preserve"> in den </w:t>
            </w:r>
            <w:proofErr w:type="spellStart"/>
            <w:r w:rsidRPr="003D5B90">
              <w:t>Regelungen</w:t>
            </w:r>
            <w:proofErr w:type="spellEnd"/>
            <w:r w:rsidRPr="003D5B90">
              <w:t xml:space="preserve"> </w:t>
            </w:r>
            <w:proofErr w:type="spellStart"/>
            <w:r w:rsidRPr="003D5B90">
              <w:t>erlaubt</w:t>
            </w:r>
            <w:proofErr w:type="spellEnd"/>
            <w:r w:rsidRPr="003D5B90">
              <w:t xml:space="preserve"> </w:t>
            </w:r>
            <w:proofErr w:type="spellStart"/>
            <w:r w:rsidRPr="003D5B90">
              <w:t>sind</w:t>
            </w:r>
            <w:proofErr w:type="spellEnd"/>
            <w:r w:rsidRPr="003D5B90">
              <w:t xml:space="preserve">. </w:t>
            </w:r>
            <w:proofErr w:type="spellStart"/>
            <w:r w:rsidRPr="003D5B90">
              <w:t>Verwendung</w:t>
            </w:r>
            <w:proofErr w:type="spellEnd"/>
            <w:r w:rsidRPr="003D5B90">
              <w:t xml:space="preserve"> von </w:t>
            </w:r>
            <w:proofErr w:type="spellStart"/>
            <w:r w:rsidRPr="003D5B90">
              <w:t>Phthalen</w:t>
            </w:r>
            <w:proofErr w:type="spellEnd"/>
            <w:r w:rsidRPr="003D5B90">
              <w:t xml:space="preserve"> in </w:t>
            </w:r>
            <w:proofErr w:type="spellStart"/>
            <w:r w:rsidRPr="003D5B90">
              <w:t>Konzentrationen</w:t>
            </w:r>
            <w:proofErr w:type="spellEnd"/>
            <w:r w:rsidRPr="003D5B90">
              <w:t xml:space="preserve"> von </w:t>
            </w:r>
            <w:proofErr w:type="spellStart"/>
            <w:r w:rsidRPr="003D5B90">
              <w:t>mehr</w:t>
            </w:r>
            <w:proofErr w:type="spellEnd"/>
            <w:r w:rsidRPr="003D5B90">
              <w:t xml:space="preserve"> </w:t>
            </w:r>
            <w:proofErr w:type="spellStart"/>
            <w:r w:rsidRPr="003D5B90">
              <w:t>als</w:t>
            </w:r>
            <w:proofErr w:type="spellEnd"/>
            <w:r w:rsidRPr="003D5B90">
              <w:t xml:space="preserve"> 0,1 </w:t>
            </w:r>
            <w:proofErr w:type="spellStart"/>
            <w:r w:rsidRPr="003D5B90">
              <w:t>Gewichts</w:t>
            </w:r>
            <w:proofErr w:type="spellEnd"/>
            <w:r w:rsidRPr="003D5B90">
              <w:t xml:space="preserve">-% muss </w:t>
            </w:r>
            <w:proofErr w:type="spellStart"/>
            <w:r w:rsidRPr="003D5B90">
              <w:t>angegeben</w:t>
            </w:r>
            <w:proofErr w:type="spellEnd"/>
            <w:r w:rsidRPr="003D5B90">
              <w:t xml:space="preserve"> </w:t>
            </w:r>
            <w:proofErr w:type="spellStart"/>
            <w:r w:rsidRPr="003D5B90">
              <w:t>werden</w:t>
            </w:r>
            <w:proofErr w:type="spellEnd"/>
            <w:r w:rsidRPr="003D5B90">
              <w:t>.</w:t>
            </w:r>
          </w:p>
        </w:tc>
        <w:tc>
          <w:tcPr>
            <w:tcW w:w="2432" w:type="dxa"/>
            <w:gridSpan w:val="2"/>
          </w:tcPr>
          <w:p w14:paraId="4DC4096C" w14:textId="0C494D2A" w:rsidR="001913BE" w:rsidRPr="001913BE" w:rsidRDefault="001913BE" w:rsidP="00191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16"/>
                <w:szCs w:val="16"/>
              </w:rPr>
            </w:pPr>
            <w:r w:rsidRPr="001913BE">
              <w:rPr>
                <w:rFonts w:eastAsia="Times New Roman"/>
                <w:color w:val="222222"/>
                <w:sz w:val="16"/>
                <w:szCs w:val="16"/>
                <w:lang w:val="de-DE"/>
              </w:rPr>
              <w:t xml:space="preserve">EU - Richtlinie (EU) 2015/863 </w:t>
            </w:r>
            <w:r w:rsidRPr="001913BE">
              <w:rPr>
                <w:color w:val="000000"/>
                <w:sz w:val="16"/>
                <w:szCs w:val="16"/>
                <w:lang w:val="de-DE"/>
              </w:rPr>
              <w:t>und Ergänzungen</w:t>
            </w:r>
          </w:p>
          <w:p w14:paraId="540AA14D" w14:textId="77777777" w:rsidR="00DC0DF7" w:rsidRPr="001913BE" w:rsidRDefault="00DC0DF7" w:rsidP="001913BE">
            <w:pPr>
              <w:keepNext/>
              <w:keepLines/>
              <w:spacing w:before="120" w:after="120"/>
              <w:rPr>
                <w:color w:val="000000"/>
                <w:sz w:val="16"/>
                <w:szCs w:val="16"/>
                <w:lang w:val="de-DE"/>
              </w:rPr>
            </w:pPr>
            <w:r w:rsidRPr="001913BE">
              <w:rPr>
                <w:color w:val="000000"/>
                <w:sz w:val="16"/>
                <w:szCs w:val="16"/>
                <w:lang w:val="de-DE"/>
              </w:rPr>
              <w:t>EG – Verordnung 1907/2006/EG und Ergänzungen</w:t>
            </w:r>
          </w:p>
          <w:p w14:paraId="36DAE6BB" w14:textId="77777777" w:rsidR="00DC0DF7" w:rsidRPr="001913BE" w:rsidRDefault="00DC0DF7" w:rsidP="00DC0DF7">
            <w:pPr>
              <w:keepNext/>
              <w:keepLines/>
              <w:spacing w:before="120" w:after="120"/>
              <w:rPr>
                <w:color w:val="000000"/>
                <w:sz w:val="16"/>
                <w:szCs w:val="16"/>
                <w:lang w:val="de-DE"/>
              </w:rPr>
            </w:pPr>
            <w:r w:rsidRPr="001913BE">
              <w:rPr>
                <w:color w:val="000000"/>
                <w:sz w:val="16"/>
                <w:szCs w:val="16"/>
                <w:lang w:val="de-DE"/>
              </w:rPr>
              <w:t>Dänemark Verfügung BEK Nr. 1113</w:t>
            </w:r>
          </w:p>
          <w:p w14:paraId="2A29887F" w14:textId="77777777" w:rsidR="00DC0DF7" w:rsidRPr="001913BE" w:rsidRDefault="00DC0DF7" w:rsidP="00DC0DF7">
            <w:pPr>
              <w:keepNext/>
              <w:keepLines/>
              <w:spacing w:before="120" w:after="120"/>
              <w:rPr>
                <w:color w:val="000000"/>
                <w:sz w:val="16"/>
                <w:szCs w:val="16"/>
                <w:lang w:val="de-DE"/>
              </w:rPr>
            </w:pPr>
            <w:r w:rsidRPr="001913BE">
              <w:rPr>
                <w:color w:val="000000"/>
                <w:sz w:val="16"/>
                <w:szCs w:val="16"/>
                <w:lang w:val="de-DE"/>
              </w:rPr>
              <w:t>EG – Richtlinie 2011/65/EG und Ergänzungen</w:t>
            </w:r>
          </w:p>
          <w:p w14:paraId="01C37392" w14:textId="51125F09" w:rsidR="00654B0B" w:rsidRPr="001913BE" w:rsidRDefault="00654B0B" w:rsidP="00DC0DF7">
            <w:pPr>
              <w:keepNext/>
              <w:keepLines/>
              <w:spacing w:before="120" w:after="120"/>
              <w:rPr>
                <w:color w:val="000000" w:themeColor="text1"/>
                <w:sz w:val="16"/>
                <w:szCs w:val="16"/>
              </w:rPr>
            </w:pPr>
            <w:r w:rsidRPr="001913BE">
              <w:rPr>
                <w:sz w:val="16"/>
                <w:szCs w:val="16"/>
              </w:rPr>
              <w:t>EG – (EG)2015/863</w:t>
            </w:r>
          </w:p>
        </w:tc>
      </w:tr>
      <w:tr w:rsidR="00DC0DF7" w:rsidRPr="00CA64FE" w14:paraId="01C37398" w14:textId="77777777" w:rsidTr="00A37697">
        <w:trPr>
          <w:gridBefore w:val="1"/>
          <w:wBefore w:w="9" w:type="dxa"/>
          <w:cantSplit/>
        </w:trPr>
        <w:tc>
          <w:tcPr>
            <w:tcW w:w="2055" w:type="dxa"/>
          </w:tcPr>
          <w:p w14:paraId="01C37394" w14:textId="591E8D99" w:rsidR="00DC0DF7" w:rsidRDefault="00DC0DF7" w:rsidP="00DC0DF7">
            <w:pPr>
              <w:keepNext/>
              <w:keepLines/>
              <w:spacing w:before="120" w:after="120"/>
              <w:rPr>
                <w:color w:val="000000" w:themeColor="text1"/>
                <w:sz w:val="16"/>
                <w:szCs w:val="16"/>
              </w:rPr>
            </w:pPr>
            <w:proofErr w:type="spellStart"/>
            <w:r>
              <w:rPr>
                <w:color w:val="000000"/>
                <w:sz w:val="16"/>
                <w:szCs w:val="16"/>
              </w:rPr>
              <w:t>Polybromierte</w:t>
            </w:r>
            <w:proofErr w:type="spellEnd"/>
            <w:r>
              <w:rPr>
                <w:color w:val="000000"/>
                <w:sz w:val="16"/>
                <w:szCs w:val="16"/>
              </w:rPr>
              <w:t xml:space="preserve"> </w:t>
            </w:r>
            <w:proofErr w:type="spellStart"/>
            <w:r>
              <w:rPr>
                <w:color w:val="000000"/>
                <w:sz w:val="16"/>
                <w:szCs w:val="16"/>
              </w:rPr>
              <w:t>Biphenyle</w:t>
            </w:r>
            <w:proofErr w:type="spellEnd"/>
            <w:r>
              <w:rPr>
                <w:color w:val="000000"/>
                <w:sz w:val="16"/>
                <w:szCs w:val="16"/>
              </w:rPr>
              <w:t xml:space="preserve"> (PBB)</w:t>
            </w:r>
          </w:p>
        </w:tc>
        <w:tc>
          <w:tcPr>
            <w:tcW w:w="1094" w:type="dxa"/>
          </w:tcPr>
          <w:p w14:paraId="01C37395" w14:textId="0379615B" w:rsidR="00DC0DF7" w:rsidRPr="00E5181A" w:rsidRDefault="00DC0DF7" w:rsidP="00DC0DF7">
            <w:pPr>
              <w:keepNext/>
              <w:keepLines/>
              <w:spacing w:before="120" w:after="120"/>
              <w:jc w:val="center"/>
              <w:rPr>
                <w:color w:val="000000" w:themeColor="text1"/>
                <w:sz w:val="16"/>
                <w:szCs w:val="16"/>
              </w:rPr>
            </w:pPr>
            <w:r>
              <w:rPr>
                <w:color w:val="000000"/>
                <w:sz w:val="16"/>
                <w:szCs w:val="16"/>
              </w:rPr>
              <w:t>59536-65-1</w:t>
            </w:r>
          </w:p>
        </w:tc>
        <w:tc>
          <w:tcPr>
            <w:tcW w:w="3959" w:type="dxa"/>
          </w:tcPr>
          <w:p w14:paraId="01C37396" w14:textId="11190F30" w:rsidR="00DC0DF7" w:rsidRDefault="00DC0DF7" w:rsidP="00DC0DF7">
            <w:pPr>
              <w:pStyle w:val="sBullet"/>
              <w:numPr>
                <w:ilvl w:val="0"/>
                <w:numId w:val="0"/>
              </w:numPr>
              <w:spacing w:before="120" w:after="120"/>
              <w:contextualSpacing w:val="0"/>
            </w:pPr>
            <w:proofErr w:type="spellStart"/>
            <w:r>
              <w:t>Zusätzlich</w:t>
            </w:r>
            <w:proofErr w:type="spellEnd"/>
            <w:r>
              <w:t xml:space="preserve"> </w:t>
            </w:r>
            <w:proofErr w:type="spellStart"/>
            <w:r>
              <w:t>zu</w:t>
            </w:r>
            <w:proofErr w:type="spellEnd"/>
            <w:r>
              <w:t xml:space="preserve"> den </w:t>
            </w:r>
            <w:proofErr w:type="spellStart"/>
            <w:r>
              <w:t>Einschränkungen</w:t>
            </w:r>
            <w:proofErr w:type="spellEnd"/>
            <w:r>
              <w:t xml:space="preserve"> der RoHS, </w:t>
            </w:r>
            <w:proofErr w:type="spellStart"/>
            <w:r>
              <w:t>darf</w:t>
            </w:r>
            <w:proofErr w:type="spellEnd"/>
            <w:r>
              <w:t xml:space="preserve"> </w:t>
            </w:r>
            <w:proofErr w:type="spellStart"/>
            <w:r>
              <w:t>nicht</w:t>
            </w:r>
            <w:proofErr w:type="spellEnd"/>
            <w:r>
              <w:t xml:space="preserve"> </w:t>
            </w:r>
            <w:proofErr w:type="spellStart"/>
            <w:r>
              <w:t>anderweitig</w:t>
            </w:r>
            <w:proofErr w:type="spellEnd"/>
            <w:r>
              <w:t xml:space="preserve"> </w:t>
            </w:r>
            <w:proofErr w:type="spellStart"/>
            <w:r>
              <w:t>verwendet</w:t>
            </w:r>
            <w:proofErr w:type="spellEnd"/>
            <w:r>
              <w:t xml:space="preserve"> </w:t>
            </w:r>
            <w:proofErr w:type="spellStart"/>
            <w:r>
              <w:t>werden</w:t>
            </w:r>
            <w:proofErr w:type="spellEnd"/>
            <w:r>
              <w:t>.</w:t>
            </w:r>
          </w:p>
        </w:tc>
        <w:tc>
          <w:tcPr>
            <w:tcW w:w="2432" w:type="dxa"/>
            <w:gridSpan w:val="2"/>
          </w:tcPr>
          <w:p w14:paraId="01C37397" w14:textId="045A6E2A" w:rsidR="00DC0DF7" w:rsidRPr="00065324" w:rsidRDefault="00DC0DF7" w:rsidP="00DC0DF7">
            <w:pPr>
              <w:keepNext/>
              <w:keepLines/>
              <w:spacing w:before="120" w:after="120"/>
              <w:rPr>
                <w:color w:val="000000" w:themeColor="text1"/>
                <w:sz w:val="16"/>
                <w:szCs w:val="16"/>
              </w:rPr>
            </w:pPr>
            <w:r w:rsidRPr="004E46E3">
              <w:rPr>
                <w:sz w:val="16"/>
                <w:szCs w:val="16"/>
                <w:lang w:val="de-DE"/>
              </w:rPr>
              <w:t>EG – Verordnung 1907/2006/EG Anhang 11 und Ergänzungen</w:t>
            </w:r>
          </w:p>
        </w:tc>
      </w:tr>
      <w:tr w:rsidR="00DC0DF7" w:rsidRPr="00CA64FE" w14:paraId="01C3739D" w14:textId="77777777" w:rsidTr="00A37697">
        <w:trPr>
          <w:gridBefore w:val="1"/>
          <w:wBefore w:w="9" w:type="dxa"/>
          <w:cantSplit/>
        </w:trPr>
        <w:tc>
          <w:tcPr>
            <w:tcW w:w="2055" w:type="dxa"/>
          </w:tcPr>
          <w:p w14:paraId="01C37399" w14:textId="03895B82" w:rsidR="00DC0DF7" w:rsidRDefault="00DC0DF7" w:rsidP="00DC0DF7">
            <w:pPr>
              <w:keepNext/>
              <w:keepLines/>
              <w:spacing w:before="120" w:after="120"/>
              <w:rPr>
                <w:color w:val="000000" w:themeColor="text1"/>
                <w:sz w:val="16"/>
                <w:szCs w:val="16"/>
              </w:rPr>
            </w:pPr>
            <w:r w:rsidRPr="004E46E3">
              <w:rPr>
                <w:color w:val="000000"/>
                <w:sz w:val="16"/>
                <w:szCs w:val="16"/>
                <w:lang w:val="de-DE"/>
              </w:rPr>
              <w:t>Polybromierten Diphenylether: Pentabrom- und Octabromderivate</w:t>
            </w:r>
          </w:p>
        </w:tc>
        <w:tc>
          <w:tcPr>
            <w:tcW w:w="1094" w:type="dxa"/>
          </w:tcPr>
          <w:p w14:paraId="01C3739A" w14:textId="4E808D69" w:rsidR="00DC0DF7" w:rsidRPr="00E5181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01C3739B" w14:textId="70F9A85F" w:rsidR="00DC0DF7" w:rsidRDefault="00DC0DF7" w:rsidP="00DC0DF7">
            <w:pPr>
              <w:pStyle w:val="sBullet"/>
              <w:numPr>
                <w:ilvl w:val="0"/>
                <w:numId w:val="0"/>
              </w:numPr>
              <w:spacing w:before="120" w:after="120"/>
              <w:contextualSpacing w:val="0"/>
            </w:pPr>
            <w:proofErr w:type="spellStart"/>
            <w:r>
              <w:t>Zusätzlich</w:t>
            </w:r>
            <w:proofErr w:type="spellEnd"/>
            <w:r>
              <w:t xml:space="preserve"> </w:t>
            </w:r>
            <w:proofErr w:type="spellStart"/>
            <w:r>
              <w:t>zu</w:t>
            </w:r>
            <w:proofErr w:type="spellEnd"/>
            <w:r>
              <w:t xml:space="preserve"> den </w:t>
            </w:r>
            <w:proofErr w:type="spellStart"/>
            <w:r>
              <w:t>Einschränkungen</w:t>
            </w:r>
            <w:proofErr w:type="spellEnd"/>
            <w:r>
              <w:t xml:space="preserve"> der RoHS </w:t>
            </w:r>
            <w:proofErr w:type="spellStart"/>
            <w:r>
              <w:t>dürfen</w:t>
            </w:r>
            <w:proofErr w:type="spellEnd"/>
            <w:r>
              <w:t xml:space="preserve"> </w:t>
            </w:r>
            <w:proofErr w:type="spellStart"/>
            <w:r>
              <w:t>diese</w:t>
            </w:r>
            <w:proofErr w:type="spellEnd"/>
            <w:r>
              <w:t xml:space="preserve"> </w:t>
            </w:r>
            <w:proofErr w:type="spellStart"/>
            <w:r>
              <w:t>nicht</w:t>
            </w:r>
            <w:proofErr w:type="spellEnd"/>
            <w:r>
              <w:t xml:space="preserve"> in </w:t>
            </w:r>
            <w:proofErr w:type="spellStart"/>
            <w:r>
              <w:t>Erzeugnissen</w:t>
            </w:r>
            <w:proofErr w:type="spellEnd"/>
            <w:r>
              <w:t xml:space="preserve"> </w:t>
            </w:r>
            <w:proofErr w:type="spellStart"/>
            <w:r>
              <w:t>verwendet</w:t>
            </w:r>
            <w:proofErr w:type="spellEnd"/>
            <w:r>
              <w:t xml:space="preserve"> </w:t>
            </w:r>
            <w:proofErr w:type="spellStart"/>
            <w:r>
              <w:t>werden</w:t>
            </w:r>
            <w:proofErr w:type="spellEnd"/>
            <w:r>
              <w:t xml:space="preserve">, </w:t>
            </w:r>
            <w:proofErr w:type="spellStart"/>
            <w:r>
              <w:t>wenn</w:t>
            </w:r>
            <w:proofErr w:type="spellEnd"/>
            <w:r>
              <w:t xml:space="preserve"> </w:t>
            </w:r>
            <w:proofErr w:type="spellStart"/>
            <w:r>
              <w:t>flammhemmende</w:t>
            </w:r>
            <w:proofErr w:type="spellEnd"/>
            <w:r>
              <w:t xml:space="preserve"> </w:t>
            </w:r>
            <w:proofErr w:type="spellStart"/>
            <w:r>
              <w:t>Teile</w:t>
            </w:r>
            <w:proofErr w:type="spellEnd"/>
            <w:r>
              <w:t xml:space="preserve"> den Stoff in </w:t>
            </w:r>
            <w:proofErr w:type="spellStart"/>
            <w:r>
              <w:t>Konezntrationen</w:t>
            </w:r>
            <w:proofErr w:type="spellEnd"/>
            <w:r>
              <w:t xml:space="preserve"> </w:t>
            </w:r>
            <w:proofErr w:type="gramStart"/>
            <w:r>
              <w:t xml:space="preserve">von  </w:t>
            </w:r>
            <w:proofErr w:type="spellStart"/>
            <w:r>
              <w:t>mehr</w:t>
            </w:r>
            <w:proofErr w:type="spellEnd"/>
            <w:proofErr w:type="gramEnd"/>
            <w:r>
              <w:t xml:space="preserve"> </w:t>
            </w:r>
            <w:proofErr w:type="spellStart"/>
            <w:r>
              <w:t>als</w:t>
            </w:r>
            <w:proofErr w:type="spellEnd"/>
            <w:r>
              <w:t xml:space="preserve"> 0,1 Mass-% </w:t>
            </w:r>
            <w:proofErr w:type="spellStart"/>
            <w:r>
              <w:t>enthalten</w:t>
            </w:r>
            <w:proofErr w:type="spellEnd"/>
            <w:r>
              <w:t>.</w:t>
            </w:r>
          </w:p>
        </w:tc>
        <w:tc>
          <w:tcPr>
            <w:tcW w:w="2432" w:type="dxa"/>
            <w:gridSpan w:val="2"/>
          </w:tcPr>
          <w:p w14:paraId="01C3739C" w14:textId="59DA0B0E" w:rsidR="00DC0DF7" w:rsidRPr="00065324" w:rsidRDefault="00DC0DF7" w:rsidP="00DC0DF7">
            <w:pPr>
              <w:keepNext/>
              <w:keepLines/>
              <w:spacing w:before="120" w:after="120"/>
              <w:rPr>
                <w:color w:val="000000" w:themeColor="text1"/>
                <w:sz w:val="16"/>
                <w:szCs w:val="16"/>
              </w:rPr>
            </w:pPr>
            <w:r w:rsidRPr="004E46E3">
              <w:rPr>
                <w:sz w:val="16"/>
                <w:szCs w:val="16"/>
                <w:lang w:val="de-DE"/>
              </w:rPr>
              <w:t>EG – Verordnung 1907/2006/EG Anhang 11 und Ergänzungen</w:t>
            </w:r>
          </w:p>
        </w:tc>
      </w:tr>
      <w:tr w:rsidR="00DC0DF7" w:rsidRPr="00BA64FA" w14:paraId="01C373A8" w14:textId="77777777" w:rsidTr="00A37697">
        <w:trPr>
          <w:gridBefore w:val="1"/>
          <w:wBefore w:w="9" w:type="dxa"/>
          <w:cantSplit/>
        </w:trPr>
        <w:tc>
          <w:tcPr>
            <w:tcW w:w="2055" w:type="dxa"/>
          </w:tcPr>
          <w:p w14:paraId="161F631B"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lastRenderedPageBreak/>
              <w:t xml:space="preserve">Polychlorierte Biphenyle (PCB), </w:t>
            </w:r>
          </w:p>
          <w:p w14:paraId="4D29C4AC" w14:textId="77777777" w:rsidR="00DC0DF7" w:rsidRPr="004E46E3" w:rsidRDefault="00DC0DF7" w:rsidP="00DC0DF7">
            <w:pPr>
              <w:keepNext/>
              <w:keepLines/>
              <w:spacing w:before="120" w:after="120"/>
              <w:rPr>
                <w:color w:val="000000"/>
                <w:sz w:val="16"/>
                <w:szCs w:val="16"/>
                <w:lang w:val="de-DE"/>
              </w:rPr>
            </w:pPr>
            <w:r w:rsidRPr="004E46E3">
              <w:rPr>
                <w:color w:val="000000"/>
                <w:sz w:val="16"/>
                <w:szCs w:val="16"/>
                <w:lang w:val="de-DE"/>
              </w:rPr>
              <w:t>Polychlorinierte Naphthaline (PCN) - Mehr als drei Chloratome</w:t>
            </w:r>
          </w:p>
          <w:p w14:paraId="01C373A0" w14:textId="566AC75C" w:rsidR="00DC0DF7" w:rsidRPr="00BA64FA" w:rsidRDefault="00DC0DF7" w:rsidP="00DC0DF7">
            <w:pPr>
              <w:keepNext/>
              <w:keepLines/>
              <w:spacing w:before="120" w:after="120"/>
              <w:rPr>
                <w:color w:val="000000" w:themeColor="text1"/>
                <w:sz w:val="16"/>
                <w:szCs w:val="16"/>
              </w:rPr>
            </w:pPr>
            <w:proofErr w:type="spellStart"/>
            <w:r>
              <w:rPr>
                <w:color w:val="000000"/>
                <w:sz w:val="16"/>
                <w:szCs w:val="16"/>
              </w:rPr>
              <w:t>Polychlorierte</w:t>
            </w:r>
            <w:proofErr w:type="spellEnd"/>
            <w:r>
              <w:rPr>
                <w:color w:val="000000"/>
                <w:sz w:val="16"/>
                <w:szCs w:val="16"/>
              </w:rPr>
              <w:t xml:space="preserve"> </w:t>
            </w:r>
            <w:proofErr w:type="spellStart"/>
            <w:r>
              <w:rPr>
                <w:color w:val="000000"/>
                <w:sz w:val="16"/>
                <w:szCs w:val="16"/>
              </w:rPr>
              <w:t>Terphenyle</w:t>
            </w:r>
            <w:proofErr w:type="spellEnd"/>
            <w:r>
              <w:rPr>
                <w:color w:val="000000"/>
                <w:sz w:val="16"/>
                <w:szCs w:val="16"/>
              </w:rPr>
              <w:t xml:space="preserve"> (PCT)</w:t>
            </w:r>
          </w:p>
        </w:tc>
        <w:tc>
          <w:tcPr>
            <w:tcW w:w="1094" w:type="dxa"/>
          </w:tcPr>
          <w:p w14:paraId="01C373A1" w14:textId="11CDF9F6" w:rsidR="00DC0DF7" w:rsidRPr="00BA64F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2A2780A0" w14:textId="77777777" w:rsidR="00DC0DF7" w:rsidRPr="00C175FC" w:rsidRDefault="00DC0DF7" w:rsidP="00DC0DF7">
            <w:pPr>
              <w:pStyle w:val="sBullet"/>
              <w:numPr>
                <w:ilvl w:val="0"/>
                <w:numId w:val="0"/>
              </w:numPr>
              <w:spacing w:before="120" w:after="120"/>
              <w:contextualSpacing w:val="0"/>
            </w:pPr>
            <w:proofErr w:type="spellStart"/>
            <w:r>
              <w:t>Darf</w:t>
            </w:r>
            <w:proofErr w:type="spellEnd"/>
            <w:r>
              <w:t xml:space="preserve"> </w:t>
            </w:r>
            <w:proofErr w:type="spellStart"/>
            <w:r>
              <w:t>nicht</w:t>
            </w:r>
            <w:proofErr w:type="spellEnd"/>
            <w:r>
              <w:t xml:space="preserve"> </w:t>
            </w:r>
            <w:proofErr w:type="spellStart"/>
            <w:r>
              <w:t>vorsätzlich</w:t>
            </w:r>
            <w:proofErr w:type="spellEnd"/>
            <w:r>
              <w:t xml:space="preserve"> </w:t>
            </w:r>
            <w:proofErr w:type="spellStart"/>
            <w:r>
              <w:t>hinzugefügt</w:t>
            </w:r>
            <w:proofErr w:type="spellEnd"/>
            <w:r>
              <w:t xml:space="preserve"> </w:t>
            </w:r>
            <w:proofErr w:type="spellStart"/>
            <w:r>
              <w:t>werden</w:t>
            </w:r>
            <w:proofErr w:type="spellEnd"/>
            <w:r>
              <w:t xml:space="preserve">, und muss </w:t>
            </w:r>
            <w:proofErr w:type="spellStart"/>
            <w:r>
              <w:t>unterhalb</w:t>
            </w:r>
            <w:proofErr w:type="spellEnd"/>
            <w:r>
              <w:t xml:space="preserve"> der </w:t>
            </w:r>
            <w:proofErr w:type="spellStart"/>
            <w:r>
              <w:t>Nachweisgrenze</w:t>
            </w:r>
            <w:proofErr w:type="spellEnd"/>
            <w:r>
              <w:t xml:space="preserve"> </w:t>
            </w:r>
            <w:proofErr w:type="spellStart"/>
            <w:r>
              <w:t>liegen</w:t>
            </w:r>
            <w:proofErr w:type="spellEnd"/>
            <w:r>
              <w:t>.</w:t>
            </w:r>
          </w:p>
          <w:p w14:paraId="487E4308" w14:textId="77777777" w:rsidR="00DC0DF7" w:rsidRPr="00C175FC" w:rsidRDefault="00DC0DF7" w:rsidP="00DC0DF7">
            <w:pPr>
              <w:pStyle w:val="sBullet"/>
              <w:numPr>
                <w:ilvl w:val="0"/>
                <w:numId w:val="0"/>
              </w:numPr>
              <w:spacing w:before="120" w:after="120"/>
              <w:contextualSpacing w:val="0"/>
            </w:pPr>
            <w:r>
              <w:t xml:space="preserve">PCBs und PCTs </w:t>
            </w:r>
            <w:proofErr w:type="spellStart"/>
            <w:r>
              <w:t>dürfen</w:t>
            </w:r>
            <w:proofErr w:type="spellEnd"/>
            <w:r>
              <w:t xml:space="preserve"> </w:t>
            </w:r>
            <w:proofErr w:type="spellStart"/>
            <w:r>
              <w:t>nicht</w:t>
            </w:r>
            <w:proofErr w:type="spellEnd"/>
            <w:r>
              <w:t xml:space="preserve"> in </w:t>
            </w:r>
            <w:proofErr w:type="spellStart"/>
            <w:r>
              <w:t>Konzentrationen</w:t>
            </w:r>
            <w:proofErr w:type="spellEnd"/>
            <w:r>
              <w:t xml:space="preserve"> von </w:t>
            </w:r>
            <w:proofErr w:type="spellStart"/>
            <w:r>
              <w:t>mehr</w:t>
            </w:r>
            <w:proofErr w:type="spellEnd"/>
            <w:r>
              <w:t xml:space="preserve"> </w:t>
            </w:r>
            <w:proofErr w:type="spellStart"/>
            <w:r>
              <w:t>als</w:t>
            </w:r>
            <w:proofErr w:type="spellEnd"/>
            <w:r>
              <w:t xml:space="preserve"> 0,005 </w:t>
            </w:r>
            <w:proofErr w:type="spellStart"/>
            <w:r>
              <w:t>Gewichts</w:t>
            </w:r>
            <w:proofErr w:type="spellEnd"/>
            <w:r>
              <w:t xml:space="preserve">-% (50 ppm) in </w:t>
            </w:r>
            <w:proofErr w:type="spellStart"/>
            <w:r>
              <w:t>Zubereitungen</w:t>
            </w:r>
            <w:proofErr w:type="spellEnd"/>
            <w:r>
              <w:t xml:space="preserve"> </w:t>
            </w:r>
            <w:proofErr w:type="spellStart"/>
            <w:r>
              <w:t>verwendet</w:t>
            </w:r>
            <w:proofErr w:type="spellEnd"/>
            <w:r>
              <w:t xml:space="preserve"> </w:t>
            </w:r>
            <w:proofErr w:type="spellStart"/>
            <w:r>
              <w:t>werden</w:t>
            </w:r>
            <w:proofErr w:type="spellEnd"/>
            <w:r>
              <w:t>.</w:t>
            </w:r>
          </w:p>
          <w:p w14:paraId="01C373A4" w14:textId="2EDE59A2" w:rsidR="00DC0DF7" w:rsidRPr="00BA64FA" w:rsidRDefault="00DC0DF7" w:rsidP="00DC0DF7">
            <w:pPr>
              <w:pStyle w:val="sBullet"/>
              <w:numPr>
                <w:ilvl w:val="0"/>
                <w:numId w:val="0"/>
              </w:numPr>
              <w:spacing w:before="120" w:after="120"/>
              <w:contextualSpacing w:val="0"/>
            </w:pPr>
            <w:r>
              <w:t xml:space="preserve">PCNs </w:t>
            </w:r>
            <w:proofErr w:type="spellStart"/>
            <w:r>
              <w:t>dürfen</w:t>
            </w:r>
            <w:proofErr w:type="spellEnd"/>
            <w:r>
              <w:t xml:space="preserve"> in </w:t>
            </w:r>
            <w:proofErr w:type="spellStart"/>
            <w:r>
              <w:t>homogenen</w:t>
            </w:r>
            <w:proofErr w:type="spellEnd"/>
            <w:r>
              <w:t xml:space="preserve"> </w:t>
            </w:r>
            <w:proofErr w:type="spellStart"/>
            <w:r>
              <w:t>Materialien</w:t>
            </w:r>
            <w:proofErr w:type="spellEnd"/>
            <w:r>
              <w:t xml:space="preserve"> </w:t>
            </w:r>
            <w:proofErr w:type="spellStart"/>
            <w:r>
              <w:t>nicht</w:t>
            </w:r>
            <w:proofErr w:type="spellEnd"/>
            <w:r>
              <w:t xml:space="preserve"> in </w:t>
            </w:r>
            <w:proofErr w:type="spellStart"/>
            <w:r>
              <w:t>Konzentrationen</w:t>
            </w:r>
            <w:proofErr w:type="spellEnd"/>
            <w:r>
              <w:t xml:space="preserve"> von </w:t>
            </w:r>
            <w:proofErr w:type="spellStart"/>
            <w:r>
              <w:t>mehr</w:t>
            </w:r>
            <w:proofErr w:type="spellEnd"/>
            <w:r>
              <w:t xml:space="preserve"> </w:t>
            </w:r>
            <w:proofErr w:type="spellStart"/>
            <w:r>
              <w:t>als</w:t>
            </w:r>
            <w:proofErr w:type="spellEnd"/>
            <w:r>
              <w:t xml:space="preserve"> 0,005 </w:t>
            </w:r>
            <w:proofErr w:type="spellStart"/>
            <w:r>
              <w:t>Gewichts</w:t>
            </w:r>
            <w:proofErr w:type="spellEnd"/>
            <w:r>
              <w:t xml:space="preserve">-% (50 ppm) in </w:t>
            </w:r>
            <w:proofErr w:type="spellStart"/>
            <w:r>
              <w:t>Zubereitungen</w:t>
            </w:r>
            <w:proofErr w:type="spellEnd"/>
            <w:r>
              <w:t xml:space="preserve"> </w:t>
            </w:r>
            <w:proofErr w:type="spellStart"/>
            <w:r>
              <w:t>verwendet</w:t>
            </w:r>
            <w:proofErr w:type="spellEnd"/>
            <w:r>
              <w:t xml:space="preserve"> </w:t>
            </w:r>
            <w:proofErr w:type="spellStart"/>
            <w:r>
              <w:t>werden</w:t>
            </w:r>
            <w:proofErr w:type="spellEnd"/>
            <w:r>
              <w:t>.</w:t>
            </w:r>
          </w:p>
        </w:tc>
        <w:tc>
          <w:tcPr>
            <w:tcW w:w="2432" w:type="dxa"/>
            <w:gridSpan w:val="2"/>
          </w:tcPr>
          <w:p w14:paraId="51740999"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1907/2006/EG und </w:t>
            </w:r>
            <w:proofErr w:type="spellStart"/>
            <w:r>
              <w:t>Ergänzungen</w:t>
            </w:r>
            <w:proofErr w:type="spellEnd"/>
            <w:r>
              <w:t xml:space="preserve">, </w:t>
            </w:r>
            <w:proofErr w:type="spellStart"/>
            <w:r>
              <w:t>Verordnung</w:t>
            </w:r>
            <w:proofErr w:type="spellEnd"/>
            <w:r>
              <w:t xml:space="preserve"> 850/2004/EWG und </w:t>
            </w:r>
            <w:proofErr w:type="spellStart"/>
            <w:r>
              <w:t>Ergänzungen</w:t>
            </w:r>
            <w:proofErr w:type="spellEnd"/>
          </w:p>
          <w:p w14:paraId="6BA11AF4" w14:textId="77777777" w:rsidR="00DC0DF7" w:rsidRPr="00C175FC" w:rsidRDefault="00DC0DF7" w:rsidP="00DC0DF7">
            <w:pPr>
              <w:pStyle w:val="sBullet"/>
              <w:numPr>
                <w:ilvl w:val="0"/>
                <w:numId w:val="0"/>
              </w:numPr>
              <w:spacing w:before="120" w:after="120"/>
              <w:contextualSpacing w:val="0"/>
            </w:pPr>
            <w:r>
              <w:t xml:space="preserve">Japan - </w:t>
            </w:r>
            <w:proofErr w:type="spellStart"/>
            <w:r>
              <w:t>Gesetz</w:t>
            </w:r>
            <w:proofErr w:type="spellEnd"/>
            <w:r>
              <w:t xml:space="preserve"> </w:t>
            </w:r>
            <w:proofErr w:type="spellStart"/>
            <w:r>
              <w:t>für</w:t>
            </w:r>
            <w:proofErr w:type="spellEnd"/>
            <w:r>
              <w:t xml:space="preserve"> die </w:t>
            </w:r>
            <w:proofErr w:type="spellStart"/>
            <w:r>
              <w:t>Untersuchung</w:t>
            </w:r>
            <w:proofErr w:type="spellEnd"/>
            <w:r>
              <w:t xml:space="preserve"> und </w:t>
            </w:r>
            <w:proofErr w:type="spellStart"/>
            <w:r>
              <w:t>Regulierung</w:t>
            </w:r>
            <w:proofErr w:type="spellEnd"/>
            <w:r>
              <w:t xml:space="preserve"> der </w:t>
            </w:r>
            <w:proofErr w:type="spellStart"/>
            <w:r>
              <w:t>Herstellung</w:t>
            </w:r>
            <w:proofErr w:type="spellEnd"/>
            <w:r>
              <w:t xml:space="preserve"> von </w:t>
            </w:r>
            <w:proofErr w:type="spellStart"/>
            <w:r>
              <w:t>chemischen</w:t>
            </w:r>
            <w:proofErr w:type="spellEnd"/>
            <w:r>
              <w:t xml:space="preserve"> </w:t>
            </w:r>
            <w:proofErr w:type="spellStart"/>
            <w:r>
              <w:t>Stoffen</w:t>
            </w:r>
            <w:proofErr w:type="spellEnd"/>
            <w:r>
              <w:t xml:space="preserve">, </w:t>
            </w:r>
            <w:proofErr w:type="spellStart"/>
            <w:r>
              <w:t>Klasse</w:t>
            </w:r>
            <w:proofErr w:type="spellEnd"/>
            <w:r>
              <w:t xml:space="preserve"> I</w:t>
            </w:r>
          </w:p>
          <w:p w14:paraId="01C373A7" w14:textId="1E9403D2" w:rsidR="00DC0DF7" w:rsidRPr="0038743A" w:rsidRDefault="00DC0DF7" w:rsidP="00DC0DF7">
            <w:pPr>
              <w:pStyle w:val="sBullet"/>
              <w:numPr>
                <w:ilvl w:val="0"/>
                <w:numId w:val="0"/>
              </w:numPr>
              <w:spacing w:before="120" w:after="120"/>
              <w:contextualSpacing w:val="0"/>
            </w:pPr>
            <w:proofErr w:type="spellStart"/>
            <w:r>
              <w:t>Nordostatlantik</w:t>
            </w:r>
            <w:proofErr w:type="spellEnd"/>
            <w:r>
              <w:t xml:space="preserve"> – OSPAR</w:t>
            </w:r>
          </w:p>
        </w:tc>
      </w:tr>
      <w:tr w:rsidR="00DC0DF7" w:rsidRPr="00BA64FA" w14:paraId="01C373B7" w14:textId="77777777" w:rsidTr="00A37697">
        <w:trPr>
          <w:gridBefore w:val="1"/>
          <w:wBefore w:w="9" w:type="dxa"/>
          <w:cantSplit/>
        </w:trPr>
        <w:tc>
          <w:tcPr>
            <w:tcW w:w="2055" w:type="dxa"/>
          </w:tcPr>
          <w:p w14:paraId="01C373A9" w14:textId="0EDFA10D" w:rsidR="00DC0DF7" w:rsidRPr="00BA64FA" w:rsidRDefault="00DC0DF7" w:rsidP="00DC0DF7">
            <w:pPr>
              <w:keepNext/>
              <w:keepLines/>
              <w:spacing w:before="120" w:after="120"/>
              <w:rPr>
                <w:color w:val="000000" w:themeColor="text1"/>
                <w:sz w:val="16"/>
                <w:szCs w:val="16"/>
              </w:rPr>
            </w:pPr>
            <w:r w:rsidRPr="004E46E3">
              <w:rPr>
                <w:color w:val="000000"/>
                <w:sz w:val="16"/>
                <w:szCs w:val="16"/>
                <w:lang w:val="de-DE"/>
              </w:rPr>
              <w:t>Polycyclische aromatische Kohlenwasserstoffe (PAK) Verbindungen (Kreosot, Kohlenteer etc)</w:t>
            </w:r>
          </w:p>
        </w:tc>
        <w:tc>
          <w:tcPr>
            <w:tcW w:w="1094" w:type="dxa"/>
          </w:tcPr>
          <w:p w14:paraId="01C373AA" w14:textId="017A78D8" w:rsidR="00DC0DF7" w:rsidRPr="00BA64F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44DC9159" w14:textId="77777777" w:rsidR="00DC0DF7" w:rsidRPr="004E46E3" w:rsidRDefault="00DC0DF7" w:rsidP="00DC0DF7">
            <w:pPr>
              <w:keepNext/>
              <w:keepLines/>
              <w:autoSpaceDE w:val="0"/>
              <w:autoSpaceDN w:val="0"/>
              <w:adjustRightInd w:val="0"/>
              <w:spacing w:before="120" w:after="120"/>
              <w:rPr>
                <w:color w:val="000000"/>
                <w:sz w:val="16"/>
                <w:szCs w:val="16"/>
                <w:lang w:val="de-DE"/>
              </w:rPr>
            </w:pPr>
            <w:r w:rsidRPr="004E46E3">
              <w:rPr>
                <w:color w:val="000000"/>
                <w:sz w:val="16"/>
                <w:szCs w:val="16"/>
                <w:lang w:val="de-DE"/>
              </w:rPr>
              <w:t xml:space="preserve">PAKs dürfen nicht auf der Außenseite der aufgelisteten Produkten verwendet werden in höheren Konzentrationen als aufgeführt in homogenen Materialien. </w:t>
            </w:r>
          </w:p>
          <w:p w14:paraId="5CC0E496" w14:textId="77777777" w:rsidR="00DC0DF7" w:rsidRPr="004E46E3" w:rsidRDefault="00DC0DF7" w:rsidP="00DC0DF7">
            <w:pPr>
              <w:keepNext/>
              <w:keepLines/>
              <w:autoSpaceDE w:val="0"/>
              <w:autoSpaceDN w:val="0"/>
              <w:adjustRightInd w:val="0"/>
              <w:spacing w:before="120" w:after="120"/>
              <w:rPr>
                <w:color w:val="000000"/>
                <w:sz w:val="16"/>
                <w:szCs w:val="16"/>
                <w:lang w:val="de-DE"/>
              </w:rPr>
            </w:pPr>
            <w:r w:rsidRPr="004E46E3">
              <w:rPr>
                <w:color w:val="000000"/>
                <w:sz w:val="16"/>
                <w:szCs w:val="16"/>
                <w:lang w:val="de-DE"/>
              </w:rPr>
              <w:t>PAK-Grenzwerte für tragbare Geräte und Kabel (Gruppe 2):</w:t>
            </w:r>
          </w:p>
          <w:p w14:paraId="6F0E45DA" w14:textId="77777777" w:rsidR="00DC0DF7" w:rsidRPr="00C175FC" w:rsidRDefault="00DC0DF7" w:rsidP="00C5606C">
            <w:pPr>
              <w:pStyle w:val="sBullet"/>
              <w:numPr>
                <w:ilvl w:val="0"/>
                <w:numId w:val="13"/>
              </w:numPr>
              <w:spacing w:before="120" w:after="120"/>
              <w:ind w:left="163" w:hanging="163"/>
              <w:contextualSpacing w:val="0"/>
            </w:pPr>
            <w:r>
              <w:t>Benzo(a)</w:t>
            </w:r>
            <w:proofErr w:type="spellStart"/>
            <w:r>
              <w:t>pyren</w:t>
            </w:r>
            <w:proofErr w:type="spellEnd"/>
            <w:r>
              <w:t>: 1 mg/kg</w:t>
            </w:r>
          </w:p>
          <w:p w14:paraId="119AA399" w14:textId="77777777" w:rsidR="00DC0DF7" w:rsidRPr="00C175FC" w:rsidRDefault="00DC0DF7" w:rsidP="00C5606C">
            <w:pPr>
              <w:pStyle w:val="sBullet"/>
              <w:numPr>
                <w:ilvl w:val="0"/>
                <w:numId w:val="13"/>
              </w:numPr>
              <w:spacing w:before="120" w:after="120"/>
              <w:ind w:left="163" w:hanging="163"/>
              <w:contextualSpacing w:val="0"/>
            </w:pPr>
            <w:proofErr w:type="spellStart"/>
            <w:r>
              <w:t>Summe</w:t>
            </w:r>
            <w:proofErr w:type="spellEnd"/>
            <w:r>
              <w:t xml:space="preserve"> 16 PAK (EPA): 10 mg/kg</w:t>
            </w:r>
          </w:p>
          <w:p w14:paraId="7482F188" w14:textId="77777777" w:rsidR="00DC0DF7" w:rsidRPr="004E46E3" w:rsidRDefault="00DC0DF7" w:rsidP="00DC0DF7">
            <w:pPr>
              <w:keepNext/>
              <w:keepLines/>
              <w:autoSpaceDE w:val="0"/>
              <w:autoSpaceDN w:val="0"/>
              <w:adjustRightInd w:val="0"/>
              <w:spacing w:before="120" w:after="120"/>
              <w:rPr>
                <w:color w:val="000000"/>
                <w:sz w:val="16"/>
                <w:szCs w:val="16"/>
                <w:lang w:val="de-DE"/>
              </w:rPr>
            </w:pPr>
            <w:r w:rsidRPr="004E46E3">
              <w:rPr>
                <w:color w:val="000000"/>
                <w:sz w:val="16"/>
                <w:szCs w:val="16"/>
                <w:lang w:val="de-DE"/>
              </w:rPr>
              <w:t>PAK-Grenzwerte für stationäre Geräte und Kabel (Gruppe 3):</w:t>
            </w:r>
          </w:p>
          <w:p w14:paraId="5E78DD26" w14:textId="77777777" w:rsidR="00DC0DF7" w:rsidRPr="00C175FC" w:rsidRDefault="00DC0DF7" w:rsidP="00DC0DF7">
            <w:pPr>
              <w:pStyle w:val="sBullet"/>
              <w:spacing w:before="120" w:after="120"/>
              <w:ind w:left="163" w:hanging="163"/>
              <w:contextualSpacing w:val="0"/>
            </w:pPr>
            <w:r>
              <w:t>Benzo(a)</w:t>
            </w:r>
            <w:proofErr w:type="spellStart"/>
            <w:r>
              <w:t>pyren</w:t>
            </w:r>
            <w:proofErr w:type="spellEnd"/>
            <w:r>
              <w:t>: 20 mg/kg</w:t>
            </w:r>
          </w:p>
          <w:p w14:paraId="5DC8E6A0" w14:textId="77777777" w:rsidR="00DC0DF7" w:rsidRPr="00C175FC" w:rsidRDefault="00DC0DF7" w:rsidP="00DC0DF7">
            <w:pPr>
              <w:pStyle w:val="sBullet"/>
              <w:spacing w:before="120" w:after="120"/>
              <w:ind w:left="163" w:hanging="163"/>
              <w:contextualSpacing w:val="0"/>
            </w:pPr>
            <w:proofErr w:type="spellStart"/>
            <w:r>
              <w:t>Summe</w:t>
            </w:r>
            <w:proofErr w:type="spellEnd"/>
            <w:r>
              <w:t xml:space="preserve"> 16 PAK (EPA): 200 mg/kg</w:t>
            </w:r>
          </w:p>
          <w:p w14:paraId="01C373B2" w14:textId="7F447092" w:rsidR="00DC0DF7" w:rsidRPr="00BA64FA" w:rsidRDefault="00DC0DF7" w:rsidP="00DC0DF7">
            <w:pPr>
              <w:keepNext/>
              <w:keepLines/>
              <w:spacing w:before="120" w:after="120"/>
              <w:rPr>
                <w:color w:val="000000" w:themeColor="text1"/>
                <w:sz w:val="16"/>
                <w:szCs w:val="16"/>
              </w:rPr>
            </w:pPr>
            <w:r w:rsidRPr="004E46E3">
              <w:rPr>
                <w:color w:val="000000"/>
                <w:sz w:val="16"/>
                <w:szCs w:val="16"/>
                <w:lang w:val="de-DE"/>
              </w:rPr>
              <w:t xml:space="preserve">Grenzwert für Materialien mit vorhersehbarem Hautkontakt bis zu 30 Sek. </w:t>
            </w:r>
            <w:r>
              <w:rPr>
                <w:color w:val="000000"/>
                <w:sz w:val="16"/>
                <w:szCs w:val="16"/>
              </w:rPr>
              <w:t>(</w:t>
            </w:r>
            <w:proofErr w:type="spellStart"/>
            <w:r>
              <w:rPr>
                <w:color w:val="000000"/>
                <w:sz w:val="16"/>
                <w:szCs w:val="16"/>
              </w:rPr>
              <w:t>kurzfristiger</w:t>
            </w:r>
            <w:proofErr w:type="spellEnd"/>
            <w:r>
              <w:rPr>
                <w:color w:val="000000"/>
                <w:sz w:val="16"/>
                <w:szCs w:val="16"/>
              </w:rPr>
              <w:t xml:space="preserve"> </w:t>
            </w:r>
            <w:proofErr w:type="spellStart"/>
            <w:r>
              <w:rPr>
                <w:color w:val="000000"/>
                <w:sz w:val="16"/>
                <w:szCs w:val="16"/>
              </w:rPr>
              <w:t>Hautkontakt</w:t>
            </w:r>
            <w:proofErr w:type="spellEnd"/>
            <w:r>
              <w:rPr>
                <w:color w:val="000000"/>
                <w:sz w:val="16"/>
                <w:szCs w:val="16"/>
              </w:rPr>
              <w:t xml:space="preserve">) </w:t>
            </w:r>
            <w:proofErr w:type="spellStart"/>
            <w:r>
              <w:rPr>
                <w:color w:val="000000"/>
                <w:sz w:val="16"/>
                <w:szCs w:val="16"/>
              </w:rPr>
              <w:t>oder</w:t>
            </w:r>
            <w:proofErr w:type="spellEnd"/>
            <w:r>
              <w:rPr>
                <w:color w:val="000000"/>
                <w:sz w:val="16"/>
                <w:szCs w:val="16"/>
              </w:rPr>
              <w:t xml:space="preserve"> </w:t>
            </w:r>
            <w:proofErr w:type="spellStart"/>
            <w:r>
              <w:rPr>
                <w:color w:val="000000"/>
                <w:sz w:val="16"/>
                <w:szCs w:val="16"/>
              </w:rPr>
              <w:t>ohne</w:t>
            </w:r>
            <w:proofErr w:type="spellEnd"/>
            <w:r>
              <w:rPr>
                <w:color w:val="000000"/>
                <w:sz w:val="16"/>
                <w:szCs w:val="16"/>
              </w:rPr>
              <w:t xml:space="preserve"> </w:t>
            </w:r>
            <w:proofErr w:type="spellStart"/>
            <w:r>
              <w:rPr>
                <w:color w:val="000000"/>
                <w:sz w:val="16"/>
                <w:szCs w:val="16"/>
              </w:rPr>
              <w:t>Hautkontakt</w:t>
            </w:r>
            <w:proofErr w:type="spellEnd"/>
            <w:r>
              <w:rPr>
                <w:color w:val="000000"/>
                <w:sz w:val="16"/>
                <w:szCs w:val="16"/>
              </w:rPr>
              <w:t>.</w:t>
            </w:r>
          </w:p>
        </w:tc>
        <w:tc>
          <w:tcPr>
            <w:tcW w:w="2432" w:type="dxa"/>
            <w:gridSpan w:val="2"/>
          </w:tcPr>
          <w:p w14:paraId="28C47B90" w14:textId="77777777" w:rsidR="00DC0DF7" w:rsidRPr="00C175FC" w:rsidRDefault="00DC0DF7" w:rsidP="00DC0DF7">
            <w:pPr>
              <w:pStyle w:val="sBullet"/>
              <w:numPr>
                <w:ilvl w:val="0"/>
                <w:numId w:val="0"/>
              </w:numPr>
              <w:spacing w:before="120" w:after="120"/>
              <w:contextualSpacing w:val="0"/>
            </w:pPr>
            <w:r>
              <w:t xml:space="preserve">EG – </w:t>
            </w:r>
            <w:proofErr w:type="spellStart"/>
            <w:r>
              <w:t>Verordnung</w:t>
            </w:r>
            <w:proofErr w:type="spellEnd"/>
            <w:r>
              <w:t xml:space="preserve"> 1907/2006/EG und </w:t>
            </w:r>
            <w:proofErr w:type="spellStart"/>
            <w:r>
              <w:t>Ergänzungen</w:t>
            </w:r>
            <w:proofErr w:type="spellEnd"/>
          </w:p>
          <w:p w14:paraId="14C514EA" w14:textId="77777777" w:rsidR="00DC0DF7" w:rsidRPr="00C175FC" w:rsidRDefault="00DC0DF7" w:rsidP="00DC0DF7">
            <w:pPr>
              <w:pStyle w:val="sBullet"/>
              <w:numPr>
                <w:ilvl w:val="0"/>
                <w:numId w:val="0"/>
              </w:numPr>
              <w:spacing w:before="120" w:after="120"/>
              <w:contextualSpacing w:val="0"/>
            </w:pPr>
            <w:r>
              <w:t xml:space="preserve">USA - </w:t>
            </w:r>
            <w:proofErr w:type="spellStart"/>
            <w:r>
              <w:t>Luftverschmutzung</w:t>
            </w:r>
            <w:proofErr w:type="spellEnd"/>
            <w:r>
              <w:t xml:space="preserve"> (</w:t>
            </w:r>
            <w:proofErr w:type="spellStart"/>
            <w:r>
              <w:t>Arbeitsschutzbestimmungen</w:t>
            </w:r>
            <w:proofErr w:type="spellEnd"/>
            <w:r>
              <w:t xml:space="preserve">), </w:t>
            </w:r>
            <w:proofErr w:type="spellStart"/>
            <w:r>
              <w:t>gefährliche</w:t>
            </w:r>
            <w:proofErr w:type="spellEnd"/>
            <w:r>
              <w:t xml:space="preserve"> </w:t>
            </w:r>
            <w:proofErr w:type="spellStart"/>
            <w:r>
              <w:t>Stoffe</w:t>
            </w:r>
            <w:proofErr w:type="spellEnd"/>
            <w:r>
              <w:t xml:space="preserve"> (Superfund) und </w:t>
            </w:r>
            <w:proofErr w:type="spellStart"/>
            <w:r>
              <w:t>Chemikalien</w:t>
            </w:r>
            <w:proofErr w:type="spellEnd"/>
            <w:r>
              <w:t xml:space="preserve"> des Toxic Release Inventory (TRI)</w:t>
            </w:r>
          </w:p>
          <w:p w14:paraId="67C00110" w14:textId="77777777" w:rsidR="00DC0DF7" w:rsidRPr="00C175FC" w:rsidRDefault="00DC0DF7" w:rsidP="00DC0DF7">
            <w:pPr>
              <w:pStyle w:val="sBullet"/>
              <w:numPr>
                <w:ilvl w:val="0"/>
                <w:numId w:val="0"/>
              </w:numPr>
              <w:spacing w:before="120" w:after="120"/>
              <w:contextualSpacing w:val="0"/>
            </w:pPr>
            <w:r>
              <w:t xml:space="preserve">Deutschland - </w:t>
            </w:r>
            <w:proofErr w:type="spellStart"/>
            <w:r>
              <w:t>Deutscher</w:t>
            </w:r>
            <w:proofErr w:type="spellEnd"/>
            <w:r>
              <w:t xml:space="preserve"> </w:t>
            </w:r>
            <w:proofErr w:type="spellStart"/>
            <w:r>
              <w:t>Ausschuss</w:t>
            </w:r>
            <w:proofErr w:type="spellEnd"/>
            <w:r>
              <w:t xml:space="preserve"> </w:t>
            </w:r>
            <w:proofErr w:type="spellStart"/>
            <w:r>
              <w:t>für</w:t>
            </w:r>
            <w:proofErr w:type="spellEnd"/>
            <w:r>
              <w:t xml:space="preserve"> </w:t>
            </w:r>
            <w:proofErr w:type="spellStart"/>
            <w:r>
              <w:t>technische</w:t>
            </w:r>
            <w:proofErr w:type="spellEnd"/>
            <w:r>
              <w:t xml:space="preserve"> </w:t>
            </w:r>
            <w:proofErr w:type="spellStart"/>
            <w:r>
              <w:t>Arbeitsmittel</w:t>
            </w:r>
            <w:proofErr w:type="spellEnd"/>
            <w:r>
              <w:t xml:space="preserve"> und </w:t>
            </w:r>
            <w:proofErr w:type="spellStart"/>
            <w:r>
              <w:t>Verbraucherprodukte</w:t>
            </w:r>
            <w:proofErr w:type="spellEnd"/>
            <w:r>
              <w:t xml:space="preserve"> (</w:t>
            </w:r>
            <w:proofErr w:type="spellStart"/>
            <w:r>
              <w:t>AtAV</w:t>
            </w:r>
            <w:proofErr w:type="spellEnd"/>
            <w:r>
              <w:t xml:space="preserve">) - </w:t>
            </w:r>
            <w:proofErr w:type="spellStart"/>
            <w:r>
              <w:t>verbindliche</w:t>
            </w:r>
            <w:proofErr w:type="spellEnd"/>
            <w:r>
              <w:t xml:space="preserve"> </w:t>
            </w:r>
            <w:proofErr w:type="spellStart"/>
            <w:r>
              <w:t>Grenzwerte</w:t>
            </w:r>
            <w:proofErr w:type="spellEnd"/>
            <w:r>
              <w:t xml:space="preserve"> </w:t>
            </w:r>
            <w:proofErr w:type="spellStart"/>
            <w:r>
              <w:t>für</w:t>
            </w:r>
            <w:proofErr w:type="spellEnd"/>
            <w:r>
              <w:t xml:space="preserve"> die GS-</w:t>
            </w:r>
            <w:proofErr w:type="spellStart"/>
            <w:r>
              <w:t>Zeichen</w:t>
            </w:r>
            <w:proofErr w:type="spellEnd"/>
            <w:r>
              <w:t>-</w:t>
            </w:r>
            <w:proofErr w:type="spellStart"/>
            <w:r>
              <w:t>Zuerkennung</w:t>
            </w:r>
            <w:proofErr w:type="spellEnd"/>
            <w:r>
              <w:t xml:space="preserve"> ("</w:t>
            </w:r>
            <w:proofErr w:type="spellStart"/>
            <w:r>
              <w:t>Geprüfte</w:t>
            </w:r>
            <w:proofErr w:type="spellEnd"/>
            <w:r>
              <w:t xml:space="preserve"> </w:t>
            </w:r>
            <w:proofErr w:type="spellStart"/>
            <w:r>
              <w:t>Sicherheit</w:t>
            </w:r>
            <w:proofErr w:type="spellEnd"/>
            <w:r>
              <w:t>")</w:t>
            </w:r>
          </w:p>
          <w:p w14:paraId="01C373B6" w14:textId="4BF5BB86" w:rsidR="00DC0DF7" w:rsidRPr="00BA64FA" w:rsidRDefault="00DC0DF7" w:rsidP="00DC0DF7">
            <w:pPr>
              <w:pStyle w:val="sBullet"/>
              <w:numPr>
                <w:ilvl w:val="0"/>
                <w:numId w:val="0"/>
              </w:numPr>
              <w:spacing w:before="120" w:after="120"/>
              <w:contextualSpacing w:val="0"/>
            </w:pPr>
            <w:proofErr w:type="spellStart"/>
            <w:r>
              <w:t>Nordostatlantik</w:t>
            </w:r>
            <w:proofErr w:type="spellEnd"/>
            <w:r>
              <w:t xml:space="preserve"> – OSPAR</w:t>
            </w:r>
          </w:p>
        </w:tc>
      </w:tr>
      <w:tr w:rsidR="00DC0DF7" w:rsidRPr="00BA64FA" w14:paraId="01C373C1" w14:textId="77777777" w:rsidTr="00A37697">
        <w:trPr>
          <w:gridBefore w:val="1"/>
          <w:wBefore w:w="9" w:type="dxa"/>
          <w:cantSplit/>
        </w:trPr>
        <w:tc>
          <w:tcPr>
            <w:tcW w:w="2055" w:type="dxa"/>
          </w:tcPr>
          <w:p w14:paraId="32E521DC" w14:textId="77777777" w:rsidR="00DC0DF7" w:rsidRPr="00D0185A" w:rsidRDefault="00DC0DF7" w:rsidP="00DC0DF7">
            <w:pPr>
              <w:keepNext/>
              <w:keepLines/>
              <w:spacing w:before="120" w:after="120"/>
              <w:rPr>
                <w:color w:val="000000"/>
                <w:sz w:val="16"/>
                <w:szCs w:val="16"/>
              </w:rPr>
            </w:pPr>
            <w:r>
              <w:rPr>
                <w:color w:val="000000"/>
                <w:sz w:val="16"/>
                <w:szCs w:val="16"/>
              </w:rPr>
              <w:t>Polyvinylchloride (PVC),</w:t>
            </w:r>
          </w:p>
          <w:p w14:paraId="01C373B9" w14:textId="1B50CB51" w:rsidR="00DC0DF7" w:rsidRPr="00BA64FA" w:rsidRDefault="00DC0DF7" w:rsidP="00DC0DF7">
            <w:pPr>
              <w:keepNext/>
              <w:keepLines/>
              <w:spacing w:before="120" w:after="120"/>
              <w:rPr>
                <w:color w:val="000000" w:themeColor="text1"/>
                <w:sz w:val="16"/>
                <w:szCs w:val="16"/>
              </w:rPr>
            </w:pPr>
            <w:proofErr w:type="spellStart"/>
            <w:r>
              <w:rPr>
                <w:color w:val="000000"/>
                <w:sz w:val="16"/>
                <w:szCs w:val="16"/>
              </w:rPr>
              <w:t>Polyvinylidendichlorid</w:t>
            </w:r>
            <w:proofErr w:type="spellEnd"/>
            <w:r>
              <w:rPr>
                <w:color w:val="000000"/>
                <w:sz w:val="16"/>
                <w:szCs w:val="16"/>
              </w:rPr>
              <w:t xml:space="preserve"> (PVDC)</w:t>
            </w:r>
          </w:p>
        </w:tc>
        <w:tc>
          <w:tcPr>
            <w:tcW w:w="1094" w:type="dxa"/>
          </w:tcPr>
          <w:p w14:paraId="32C2D403" w14:textId="77777777" w:rsidR="00DC0DF7" w:rsidRPr="00D0185A" w:rsidRDefault="00DC0DF7" w:rsidP="00DC0DF7">
            <w:pPr>
              <w:keepNext/>
              <w:keepLines/>
              <w:spacing w:before="120" w:after="120"/>
              <w:jc w:val="center"/>
              <w:rPr>
                <w:color w:val="000000"/>
                <w:sz w:val="16"/>
                <w:szCs w:val="16"/>
              </w:rPr>
            </w:pPr>
            <w:r>
              <w:rPr>
                <w:color w:val="000000"/>
                <w:sz w:val="16"/>
                <w:szCs w:val="16"/>
              </w:rPr>
              <w:t>9002-86-2</w:t>
            </w:r>
          </w:p>
          <w:p w14:paraId="01C373BB" w14:textId="774C3414" w:rsidR="00DC0DF7" w:rsidRPr="00BA64FA" w:rsidRDefault="00DC0DF7" w:rsidP="00DC0DF7">
            <w:pPr>
              <w:keepNext/>
              <w:keepLines/>
              <w:spacing w:before="120" w:after="120"/>
              <w:jc w:val="center"/>
              <w:rPr>
                <w:color w:val="000000" w:themeColor="text1"/>
                <w:sz w:val="16"/>
                <w:szCs w:val="16"/>
              </w:rPr>
            </w:pPr>
            <w:r>
              <w:rPr>
                <w:color w:val="000000"/>
                <w:sz w:val="16"/>
                <w:szCs w:val="16"/>
              </w:rPr>
              <w:t>9002-85-1</w:t>
            </w:r>
          </w:p>
        </w:tc>
        <w:tc>
          <w:tcPr>
            <w:tcW w:w="3959" w:type="dxa"/>
          </w:tcPr>
          <w:p w14:paraId="082C8DEA" w14:textId="77777777" w:rsidR="00DC0DF7" w:rsidRPr="00C175FC" w:rsidRDefault="00DC0DF7" w:rsidP="00DC0DF7">
            <w:pPr>
              <w:pStyle w:val="sBullet"/>
              <w:numPr>
                <w:ilvl w:val="0"/>
                <w:numId w:val="0"/>
              </w:numPr>
              <w:spacing w:before="120" w:after="120"/>
              <w:contextualSpacing w:val="0"/>
            </w:pPr>
            <w:proofErr w:type="spellStart"/>
            <w:r>
              <w:t>Einsatz</w:t>
            </w:r>
            <w:proofErr w:type="spellEnd"/>
            <w:r>
              <w:t xml:space="preserve"> in </w:t>
            </w:r>
            <w:proofErr w:type="spellStart"/>
            <w:r>
              <w:t>externen</w:t>
            </w:r>
            <w:proofErr w:type="spellEnd"/>
            <w:r>
              <w:t xml:space="preserve"> </w:t>
            </w:r>
            <w:proofErr w:type="spellStart"/>
            <w:r>
              <w:t>Komponenten</w:t>
            </w:r>
            <w:proofErr w:type="spellEnd"/>
            <w:r>
              <w:t xml:space="preserve"> und </w:t>
            </w:r>
            <w:proofErr w:type="spellStart"/>
            <w:r>
              <w:t>Beschichtungen</w:t>
            </w:r>
            <w:proofErr w:type="spellEnd"/>
            <w:r>
              <w:t xml:space="preserve">, die in </w:t>
            </w:r>
            <w:proofErr w:type="spellStart"/>
            <w:r>
              <w:t>normalen</w:t>
            </w:r>
            <w:proofErr w:type="spellEnd"/>
            <w:r>
              <w:t xml:space="preserve"> </w:t>
            </w:r>
            <w:proofErr w:type="spellStart"/>
            <w:r>
              <w:t>Gebrauchssituationen</w:t>
            </w:r>
            <w:proofErr w:type="spellEnd"/>
            <w:r>
              <w:t xml:space="preserve"> in </w:t>
            </w:r>
            <w:proofErr w:type="spellStart"/>
            <w:r>
              <w:t>Kontakt</w:t>
            </w:r>
            <w:proofErr w:type="spellEnd"/>
            <w:r>
              <w:t xml:space="preserve"> </w:t>
            </w:r>
            <w:proofErr w:type="spellStart"/>
            <w:r>
              <w:t>mit</w:t>
            </w:r>
            <w:proofErr w:type="spellEnd"/>
            <w:r>
              <w:t xml:space="preserve"> der </w:t>
            </w:r>
            <w:proofErr w:type="spellStart"/>
            <w:r>
              <w:t>Haut</w:t>
            </w:r>
            <w:proofErr w:type="spellEnd"/>
            <w:r>
              <w:t xml:space="preserve"> </w:t>
            </w:r>
            <w:proofErr w:type="spellStart"/>
            <w:r>
              <w:t>geraten</w:t>
            </w:r>
            <w:proofErr w:type="spellEnd"/>
            <w:r>
              <w:t xml:space="preserve">, </w:t>
            </w:r>
            <w:proofErr w:type="spellStart"/>
            <w:r>
              <w:t>sollte</w:t>
            </w:r>
            <w:proofErr w:type="spellEnd"/>
            <w:r>
              <w:t xml:space="preserve"> </w:t>
            </w:r>
            <w:proofErr w:type="spellStart"/>
            <w:r>
              <w:t>soweit</w:t>
            </w:r>
            <w:proofErr w:type="spellEnd"/>
            <w:r>
              <w:t xml:space="preserve"> </w:t>
            </w:r>
            <w:proofErr w:type="spellStart"/>
            <w:r>
              <w:t>wie</w:t>
            </w:r>
            <w:proofErr w:type="spellEnd"/>
            <w:r>
              <w:t xml:space="preserve"> </w:t>
            </w:r>
            <w:proofErr w:type="spellStart"/>
            <w:r>
              <w:t>möglich</w:t>
            </w:r>
            <w:proofErr w:type="spellEnd"/>
            <w:r>
              <w:t xml:space="preserve"> </w:t>
            </w:r>
            <w:proofErr w:type="spellStart"/>
            <w:r>
              <w:t>vermieden</w:t>
            </w:r>
            <w:proofErr w:type="spellEnd"/>
            <w:r>
              <w:t xml:space="preserve"> </w:t>
            </w:r>
            <w:proofErr w:type="spellStart"/>
            <w:r>
              <w:t>werden</w:t>
            </w:r>
            <w:proofErr w:type="spellEnd"/>
            <w:r>
              <w:t xml:space="preserve">, </w:t>
            </w:r>
            <w:proofErr w:type="spellStart"/>
            <w:r>
              <w:t>wenn</w:t>
            </w:r>
            <w:proofErr w:type="spellEnd"/>
            <w:r>
              <w:t xml:space="preserve"> </w:t>
            </w:r>
            <w:proofErr w:type="spellStart"/>
            <w:r>
              <w:t>angemessene</w:t>
            </w:r>
            <w:proofErr w:type="spellEnd"/>
            <w:r>
              <w:t xml:space="preserve"> </w:t>
            </w:r>
            <w:proofErr w:type="spellStart"/>
            <w:r>
              <w:t>Alternativen</w:t>
            </w:r>
            <w:proofErr w:type="spellEnd"/>
            <w:r>
              <w:t xml:space="preserve"> </w:t>
            </w:r>
            <w:proofErr w:type="spellStart"/>
            <w:r>
              <w:t>vorhanden</w:t>
            </w:r>
            <w:proofErr w:type="spellEnd"/>
            <w:r>
              <w:t xml:space="preserve"> </w:t>
            </w:r>
            <w:proofErr w:type="spellStart"/>
            <w:r>
              <w:t>sind</w:t>
            </w:r>
            <w:proofErr w:type="spellEnd"/>
            <w:r>
              <w:t xml:space="preserve">. </w:t>
            </w:r>
          </w:p>
          <w:p w14:paraId="304D020E" w14:textId="77777777" w:rsidR="00DC0DF7" w:rsidRPr="00C175FC" w:rsidRDefault="00DC0DF7" w:rsidP="00DC0DF7">
            <w:pPr>
              <w:pStyle w:val="sBullet"/>
              <w:numPr>
                <w:ilvl w:val="0"/>
                <w:numId w:val="0"/>
              </w:numPr>
              <w:spacing w:before="120" w:after="120"/>
              <w:contextualSpacing w:val="0"/>
            </w:pPr>
            <w:proofErr w:type="spellStart"/>
            <w:r>
              <w:t>Einsatz</w:t>
            </w:r>
            <w:proofErr w:type="spellEnd"/>
            <w:r>
              <w:t xml:space="preserve"> in </w:t>
            </w:r>
            <w:proofErr w:type="spellStart"/>
            <w:r>
              <w:t>internen</w:t>
            </w:r>
            <w:proofErr w:type="spellEnd"/>
            <w:r>
              <w:t xml:space="preserve"> </w:t>
            </w:r>
            <w:proofErr w:type="spellStart"/>
            <w:r>
              <w:t>Komponenten</w:t>
            </w:r>
            <w:proofErr w:type="spellEnd"/>
            <w:r>
              <w:t xml:space="preserve"> (Kabel, </w:t>
            </w:r>
            <w:proofErr w:type="spellStart"/>
            <w:r>
              <w:t>Stecker</w:t>
            </w:r>
            <w:proofErr w:type="spellEnd"/>
            <w:r>
              <w:t xml:space="preserve">, </w:t>
            </w:r>
            <w:proofErr w:type="spellStart"/>
            <w:r>
              <w:t>elektronische</w:t>
            </w:r>
            <w:proofErr w:type="spellEnd"/>
            <w:r>
              <w:t xml:space="preserve"> </w:t>
            </w:r>
            <w:proofErr w:type="spellStart"/>
            <w:r>
              <w:t>Komponenten</w:t>
            </w:r>
            <w:proofErr w:type="spellEnd"/>
            <w:r>
              <w:t xml:space="preserve">) </w:t>
            </w:r>
            <w:proofErr w:type="spellStart"/>
            <w:r>
              <w:t>ist</w:t>
            </w:r>
            <w:proofErr w:type="spellEnd"/>
            <w:r>
              <w:t xml:space="preserve"> </w:t>
            </w:r>
            <w:proofErr w:type="spellStart"/>
            <w:r>
              <w:t>erlaubt</w:t>
            </w:r>
            <w:proofErr w:type="spellEnd"/>
            <w:r>
              <w:t xml:space="preserve">, </w:t>
            </w:r>
            <w:proofErr w:type="spellStart"/>
            <w:r>
              <w:t>sollte</w:t>
            </w:r>
            <w:proofErr w:type="spellEnd"/>
            <w:r>
              <w:t xml:space="preserve"> </w:t>
            </w:r>
            <w:proofErr w:type="spellStart"/>
            <w:r>
              <w:t>aber</w:t>
            </w:r>
            <w:proofErr w:type="spellEnd"/>
            <w:r>
              <w:t xml:space="preserve"> </w:t>
            </w:r>
            <w:proofErr w:type="spellStart"/>
            <w:r>
              <w:t>soweit</w:t>
            </w:r>
            <w:proofErr w:type="spellEnd"/>
            <w:r>
              <w:t xml:space="preserve"> </w:t>
            </w:r>
            <w:proofErr w:type="spellStart"/>
            <w:r>
              <w:t>wie</w:t>
            </w:r>
            <w:proofErr w:type="spellEnd"/>
            <w:r>
              <w:t xml:space="preserve"> </w:t>
            </w:r>
            <w:proofErr w:type="spellStart"/>
            <w:r>
              <w:t>möglich</w:t>
            </w:r>
            <w:proofErr w:type="spellEnd"/>
            <w:r>
              <w:t xml:space="preserve"> </w:t>
            </w:r>
            <w:proofErr w:type="spellStart"/>
            <w:r>
              <w:t>vermieden</w:t>
            </w:r>
            <w:proofErr w:type="spellEnd"/>
            <w:r>
              <w:t xml:space="preserve"> </w:t>
            </w:r>
            <w:proofErr w:type="spellStart"/>
            <w:r>
              <w:t>werden</w:t>
            </w:r>
            <w:proofErr w:type="spellEnd"/>
            <w:r>
              <w:t xml:space="preserve">, </w:t>
            </w:r>
            <w:proofErr w:type="spellStart"/>
            <w:r>
              <w:t>wenn</w:t>
            </w:r>
            <w:proofErr w:type="spellEnd"/>
            <w:r>
              <w:t xml:space="preserve"> </w:t>
            </w:r>
            <w:proofErr w:type="spellStart"/>
            <w:r>
              <w:t>angemessene</w:t>
            </w:r>
            <w:proofErr w:type="spellEnd"/>
            <w:r>
              <w:t xml:space="preserve"> </w:t>
            </w:r>
            <w:proofErr w:type="spellStart"/>
            <w:r>
              <w:t>Alternativen</w:t>
            </w:r>
            <w:proofErr w:type="spellEnd"/>
            <w:r>
              <w:t xml:space="preserve"> </w:t>
            </w:r>
            <w:proofErr w:type="spellStart"/>
            <w:r>
              <w:t>vorhanden</w:t>
            </w:r>
            <w:proofErr w:type="spellEnd"/>
            <w:r>
              <w:t xml:space="preserve"> </w:t>
            </w:r>
            <w:proofErr w:type="spellStart"/>
            <w:r>
              <w:t>sind</w:t>
            </w:r>
            <w:proofErr w:type="spellEnd"/>
            <w:r>
              <w:t>.</w:t>
            </w:r>
          </w:p>
          <w:p w14:paraId="1554A7D5" w14:textId="77777777" w:rsidR="00DC0DF7" w:rsidRPr="00C175FC" w:rsidRDefault="00DC0DF7" w:rsidP="00DC0DF7">
            <w:pPr>
              <w:pStyle w:val="sBullet"/>
              <w:numPr>
                <w:ilvl w:val="0"/>
                <w:numId w:val="0"/>
              </w:numPr>
              <w:spacing w:before="120" w:after="120"/>
              <w:contextualSpacing w:val="0"/>
            </w:pPr>
            <w:r>
              <w:t xml:space="preserve">0,1 % (1000 ppm) </w:t>
            </w:r>
            <w:proofErr w:type="spellStart"/>
            <w:r>
              <w:t>oder</w:t>
            </w:r>
            <w:proofErr w:type="spellEnd"/>
            <w:r>
              <w:t xml:space="preserve"> </w:t>
            </w:r>
            <w:proofErr w:type="spellStart"/>
            <w:r>
              <w:t>weniger</w:t>
            </w:r>
            <w:proofErr w:type="spellEnd"/>
            <w:r>
              <w:t xml:space="preserve"> </w:t>
            </w:r>
            <w:proofErr w:type="spellStart"/>
            <w:r>
              <w:t>Chlor</w:t>
            </w:r>
            <w:proofErr w:type="spellEnd"/>
            <w:r>
              <w:t xml:space="preserve"> (</w:t>
            </w:r>
            <w:proofErr w:type="spellStart"/>
            <w:r>
              <w:t>aus</w:t>
            </w:r>
            <w:proofErr w:type="spellEnd"/>
            <w:r>
              <w:t xml:space="preserve"> CFRs </w:t>
            </w:r>
            <w:proofErr w:type="spellStart"/>
            <w:r>
              <w:t>oder</w:t>
            </w:r>
            <w:proofErr w:type="spellEnd"/>
            <w:r>
              <w:t xml:space="preserve"> PVC-</w:t>
            </w:r>
            <w:proofErr w:type="spellStart"/>
            <w:r>
              <w:t>Verbindungen</w:t>
            </w:r>
            <w:proofErr w:type="spellEnd"/>
            <w:r>
              <w:t xml:space="preserve">) in </w:t>
            </w:r>
            <w:proofErr w:type="spellStart"/>
            <w:r>
              <w:t>homogenen</w:t>
            </w:r>
            <w:proofErr w:type="spellEnd"/>
            <w:r>
              <w:t xml:space="preserve"> </w:t>
            </w:r>
            <w:proofErr w:type="spellStart"/>
            <w:r>
              <w:t>Materialien</w:t>
            </w:r>
            <w:proofErr w:type="spellEnd"/>
            <w:r>
              <w:t xml:space="preserve">, um </w:t>
            </w:r>
            <w:proofErr w:type="spellStart"/>
            <w:r>
              <w:t>als</w:t>
            </w:r>
            <w:proofErr w:type="spellEnd"/>
            <w:r>
              <w:t xml:space="preserve"> "PVC-</w:t>
            </w:r>
            <w:proofErr w:type="spellStart"/>
            <w:r>
              <w:t>frei</w:t>
            </w:r>
            <w:proofErr w:type="spellEnd"/>
            <w:r>
              <w:t xml:space="preserve">" </w:t>
            </w:r>
            <w:proofErr w:type="spellStart"/>
            <w:r>
              <w:t>eingestuft</w:t>
            </w:r>
            <w:proofErr w:type="spellEnd"/>
            <w:r>
              <w:t xml:space="preserve"> </w:t>
            </w:r>
            <w:proofErr w:type="spellStart"/>
            <w:r>
              <w:t>zu</w:t>
            </w:r>
            <w:proofErr w:type="spellEnd"/>
            <w:r>
              <w:t xml:space="preserve"> </w:t>
            </w:r>
            <w:proofErr w:type="spellStart"/>
            <w:r>
              <w:t>werden</w:t>
            </w:r>
            <w:proofErr w:type="spellEnd"/>
            <w:r>
              <w:t>.</w:t>
            </w:r>
          </w:p>
          <w:p w14:paraId="01C373BF" w14:textId="6BB75A90" w:rsidR="00DC0DF7" w:rsidRPr="00BA64FA" w:rsidRDefault="00DC0DF7" w:rsidP="00DC0DF7">
            <w:pPr>
              <w:pStyle w:val="sBullet"/>
              <w:numPr>
                <w:ilvl w:val="0"/>
                <w:numId w:val="0"/>
              </w:numPr>
              <w:spacing w:before="120" w:after="120"/>
              <w:contextualSpacing w:val="0"/>
            </w:pPr>
            <w:proofErr w:type="spellStart"/>
            <w:r>
              <w:t>Standardmeldepflicht</w:t>
            </w:r>
            <w:proofErr w:type="spellEnd"/>
            <w:r>
              <w:t xml:space="preserve"> </w:t>
            </w:r>
            <w:proofErr w:type="spellStart"/>
            <w:r>
              <w:t>bei</w:t>
            </w:r>
            <w:proofErr w:type="spellEnd"/>
            <w:r>
              <w:t xml:space="preserve"> 0,1 </w:t>
            </w:r>
            <w:proofErr w:type="spellStart"/>
            <w:r>
              <w:t>Gewichts</w:t>
            </w:r>
            <w:proofErr w:type="spellEnd"/>
            <w:r>
              <w:t xml:space="preserve">-% (1000 ppm) in </w:t>
            </w:r>
            <w:proofErr w:type="spellStart"/>
            <w:r>
              <w:t>homogenen</w:t>
            </w:r>
            <w:proofErr w:type="spellEnd"/>
            <w:r>
              <w:t xml:space="preserve"> </w:t>
            </w:r>
            <w:proofErr w:type="spellStart"/>
            <w:r>
              <w:t>Materialien</w:t>
            </w:r>
            <w:proofErr w:type="spellEnd"/>
            <w:r>
              <w:t>.</w:t>
            </w:r>
          </w:p>
        </w:tc>
        <w:tc>
          <w:tcPr>
            <w:tcW w:w="2432" w:type="dxa"/>
            <w:gridSpan w:val="2"/>
          </w:tcPr>
          <w:p w14:paraId="01C373C0" w14:textId="2AFF7684" w:rsidR="00DC0DF7" w:rsidRPr="0038743A" w:rsidRDefault="00DC0DF7" w:rsidP="00DC0DF7">
            <w:pPr>
              <w:pStyle w:val="sBullet"/>
              <w:numPr>
                <w:ilvl w:val="0"/>
                <w:numId w:val="0"/>
              </w:numPr>
              <w:spacing w:before="120" w:after="120"/>
              <w:contextualSpacing w:val="0"/>
            </w:pPr>
            <w:proofErr w:type="spellStart"/>
            <w:r>
              <w:t>Generelle</w:t>
            </w:r>
            <w:proofErr w:type="spellEnd"/>
            <w:r>
              <w:t xml:space="preserve"> </w:t>
            </w:r>
            <w:proofErr w:type="spellStart"/>
            <w:r>
              <w:t>Bedenken</w:t>
            </w:r>
            <w:proofErr w:type="spellEnd"/>
            <w:r>
              <w:t xml:space="preserve"> der </w:t>
            </w:r>
            <w:proofErr w:type="spellStart"/>
            <w:r>
              <w:t>Industrie</w:t>
            </w:r>
            <w:proofErr w:type="spellEnd"/>
          </w:p>
        </w:tc>
      </w:tr>
      <w:tr w:rsidR="00DC0DF7" w:rsidRPr="00BA64FA" w14:paraId="01C373C9" w14:textId="77777777" w:rsidTr="00A37697">
        <w:trPr>
          <w:gridBefore w:val="1"/>
          <w:wBefore w:w="9" w:type="dxa"/>
          <w:cantSplit/>
        </w:trPr>
        <w:tc>
          <w:tcPr>
            <w:tcW w:w="2055" w:type="dxa"/>
          </w:tcPr>
          <w:p w14:paraId="01C373C2" w14:textId="34F39C8A" w:rsidR="00DC0DF7" w:rsidRPr="00BA64FA" w:rsidRDefault="00DC0DF7" w:rsidP="00DC0DF7">
            <w:pPr>
              <w:keepNext/>
              <w:keepLines/>
              <w:spacing w:before="120" w:after="120"/>
              <w:rPr>
                <w:color w:val="000000" w:themeColor="text1"/>
                <w:sz w:val="16"/>
                <w:szCs w:val="16"/>
              </w:rPr>
            </w:pPr>
            <w:proofErr w:type="spellStart"/>
            <w:r>
              <w:rPr>
                <w:color w:val="000000"/>
                <w:sz w:val="16"/>
                <w:szCs w:val="16"/>
              </w:rPr>
              <w:lastRenderedPageBreak/>
              <w:t>Radioaktive</w:t>
            </w:r>
            <w:proofErr w:type="spellEnd"/>
            <w:r>
              <w:rPr>
                <w:color w:val="000000"/>
                <w:sz w:val="16"/>
                <w:szCs w:val="16"/>
              </w:rPr>
              <w:t xml:space="preserve"> </w:t>
            </w:r>
            <w:proofErr w:type="spellStart"/>
            <w:r>
              <w:rPr>
                <w:color w:val="000000"/>
                <w:sz w:val="16"/>
                <w:szCs w:val="16"/>
              </w:rPr>
              <w:t>Stoffe</w:t>
            </w:r>
            <w:proofErr w:type="spellEnd"/>
          </w:p>
        </w:tc>
        <w:tc>
          <w:tcPr>
            <w:tcW w:w="1094" w:type="dxa"/>
          </w:tcPr>
          <w:p w14:paraId="01C373C3" w14:textId="4082B8A6" w:rsidR="00DC0DF7" w:rsidRPr="00BA64FA" w:rsidRDefault="00DC0DF7" w:rsidP="00DC0DF7">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012B3A9A" w14:textId="77777777" w:rsidR="00DC0DF7" w:rsidRPr="00C175FC" w:rsidRDefault="00DC0DF7" w:rsidP="00DC0DF7">
            <w:pPr>
              <w:pStyle w:val="sBullet"/>
              <w:numPr>
                <w:ilvl w:val="0"/>
                <w:numId w:val="0"/>
              </w:numPr>
              <w:spacing w:before="120" w:after="120"/>
              <w:contextualSpacing w:val="0"/>
            </w:pPr>
            <w:proofErr w:type="spellStart"/>
            <w:r>
              <w:t>Radioaktive</w:t>
            </w:r>
            <w:proofErr w:type="spellEnd"/>
            <w:r>
              <w:t xml:space="preserve"> Stoff </w:t>
            </w:r>
            <w:proofErr w:type="spellStart"/>
            <w:r>
              <w:t>dürfen</w:t>
            </w:r>
            <w:proofErr w:type="spellEnd"/>
            <w:r>
              <w:t xml:space="preserve"> </w:t>
            </w:r>
            <w:proofErr w:type="spellStart"/>
            <w:r>
              <w:t>nicht</w:t>
            </w:r>
            <w:proofErr w:type="spellEnd"/>
            <w:r>
              <w:t xml:space="preserve"> in </w:t>
            </w:r>
            <w:proofErr w:type="spellStart"/>
            <w:r>
              <w:t>Teilen</w:t>
            </w:r>
            <w:proofErr w:type="spellEnd"/>
            <w:r>
              <w:t xml:space="preserve">, </w:t>
            </w:r>
            <w:proofErr w:type="spellStart"/>
            <w:r>
              <w:t>Komponenten</w:t>
            </w:r>
            <w:proofErr w:type="spellEnd"/>
            <w:r>
              <w:t xml:space="preserve">, </w:t>
            </w:r>
            <w:proofErr w:type="spellStart"/>
            <w:r>
              <w:t>Materialien</w:t>
            </w:r>
            <w:proofErr w:type="spellEnd"/>
            <w:r>
              <w:t xml:space="preserve"> </w:t>
            </w:r>
            <w:proofErr w:type="spellStart"/>
            <w:r>
              <w:t>oder</w:t>
            </w:r>
            <w:proofErr w:type="spellEnd"/>
            <w:r>
              <w:t xml:space="preserve"> </w:t>
            </w:r>
            <w:proofErr w:type="spellStart"/>
            <w:r>
              <w:t>Produkten</w:t>
            </w:r>
            <w:proofErr w:type="spellEnd"/>
            <w:r>
              <w:t xml:space="preserve"> </w:t>
            </w:r>
            <w:proofErr w:type="spellStart"/>
            <w:r>
              <w:t>vorhanden</w:t>
            </w:r>
            <w:proofErr w:type="spellEnd"/>
            <w:r>
              <w:t xml:space="preserve"> sein, </w:t>
            </w:r>
            <w:proofErr w:type="spellStart"/>
            <w:r>
              <w:t>außer</w:t>
            </w:r>
            <w:proofErr w:type="spellEnd"/>
            <w:r>
              <w:t xml:space="preserve"> den </w:t>
            </w:r>
            <w:proofErr w:type="spellStart"/>
            <w:r>
              <w:t>Verunreinigungen</w:t>
            </w:r>
            <w:proofErr w:type="spellEnd"/>
            <w:r>
              <w:t xml:space="preserve">, die von </w:t>
            </w:r>
            <w:proofErr w:type="spellStart"/>
            <w:r>
              <w:t>Natur</w:t>
            </w:r>
            <w:proofErr w:type="spellEnd"/>
            <w:r>
              <w:t xml:space="preserve"> </w:t>
            </w:r>
            <w:proofErr w:type="spellStart"/>
            <w:r>
              <w:t>aus</w:t>
            </w:r>
            <w:proofErr w:type="spellEnd"/>
            <w:r>
              <w:t xml:space="preserve"> </w:t>
            </w:r>
            <w:proofErr w:type="spellStart"/>
            <w:r>
              <w:t>vorhanden</w:t>
            </w:r>
            <w:proofErr w:type="spellEnd"/>
            <w:r>
              <w:t xml:space="preserve"> </w:t>
            </w:r>
            <w:proofErr w:type="spellStart"/>
            <w:r>
              <w:t>sind</w:t>
            </w:r>
            <w:proofErr w:type="spellEnd"/>
            <w:r>
              <w:t xml:space="preserve">. Falls </w:t>
            </w:r>
            <w:proofErr w:type="spellStart"/>
            <w:r>
              <w:t>vorhanden</w:t>
            </w:r>
            <w:proofErr w:type="spellEnd"/>
            <w:r>
              <w:t xml:space="preserve">, </w:t>
            </w:r>
            <w:proofErr w:type="spellStart"/>
            <w:r>
              <w:t>darf</w:t>
            </w:r>
            <w:proofErr w:type="spellEnd"/>
            <w:r>
              <w:t xml:space="preserve"> die </w:t>
            </w:r>
            <w:proofErr w:type="spellStart"/>
            <w:r>
              <w:t>Belastungsgrenze</w:t>
            </w:r>
            <w:proofErr w:type="spellEnd"/>
            <w:r>
              <w:t xml:space="preserve"> von 1 </w:t>
            </w:r>
            <w:r>
              <w:sym w:font="Symbol" w:char="F06D"/>
            </w:r>
            <w:proofErr w:type="spellStart"/>
            <w:r>
              <w:t>Sv</w:t>
            </w:r>
            <w:proofErr w:type="spellEnd"/>
            <w:r>
              <w:t xml:space="preserve">/h in 0,1 m </w:t>
            </w:r>
            <w:proofErr w:type="spellStart"/>
            <w:r>
              <w:t>Abstand</w:t>
            </w:r>
            <w:proofErr w:type="spellEnd"/>
            <w:r>
              <w:t xml:space="preserve"> </w:t>
            </w:r>
            <w:proofErr w:type="spellStart"/>
            <w:r>
              <w:t>nicht</w:t>
            </w:r>
            <w:proofErr w:type="spellEnd"/>
            <w:r>
              <w:t xml:space="preserve"> </w:t>
            </w:r>
            <w:proofErr w:type="spellStart"/>
            <w:r>
              <w:t>überschritten</w:t>
            </w:r>
            <w:proofErr w:type="spellEnd"/>
            <w:r>
              <w:t xml:space="preserve"> </w:t>
            </w:r>
            <w:proofErr w:type="spellStart"/>
            <w:r>
              <w:t>werden</w:t>
            </w:r>
            <w:proofErr w:type="spellEnd"/>
            <w:r>
              <w:t>.</w:t>
            </w:r>
          </w:p>
          <w:p w14:paraId="01C373C5" w14:textId="7273C3FD" w:rsidR="00DC0DF7" w:rsidRPr="00BA64FA" w:rsidRDefault="00DC0DF7" w:rsidP="00DC0DF7">
            <w:pPr>
              <w:pStyle w:val="sBullet"/>
              <w:numPr>
                <w:ilvl w:val="0"/>
                <w:numId w:val="0"/>
              </w:numPr>
              <w:spacing w:before="120" w:after="120"/>
              <w:contextualSpacing w:val="0"/>
            </w:pPr>
            <w:proofErr w:type="spellStart"/>
            <w:r>
              <w:t>Standardmeldepflicht</w:t>
            </w:r>
            <w:proofErr w:type="spellEnd"/>
            <w:r>
              <w:t xml:space="preserve"> </w:t>
            </w:r>
            <w:proofErr w:type="spellStart"/>
            <w:r>
              <w:t>bei</w:t>
            </w:r>
            <w:proofErr w:type="spellEnd"/>
            <w:r>
              <w:t xml:space="preserve"> 0,1 </w:t>
            </w:r>
            <w:proofErr w:type="spellStart"/>
            <w:r>
              <w:t>Gewichts</w:t>
            </w:r>
            <w:proofErr w:type="spellEnd"/>
            <w:r>
              <w:t xml:space="preserve">-% (1000 ppm) in </w:t>
            </w:r>
            <w:proofErr w:type="spellStart"/>
            <w:r>
              <w:t>homogenen</w:t>
            </w:r>
            <w:proofErr w:type="spellEnd"/>
            <w:r>
              <w:t xml:space="preserve"> </w:t>
            </w:r>
            <w:proofErr w:type="spellStart"/>
            <w:r>
              <w:t>Materialien</w:t>
            </w:r>
            <w:proofErr w:type="spellEnd"/>
            <w:r>
              <w:t>.</w:t>
            </w:r>
          </w:p>
        </w:tc>
        <w:tc>
          <w:tcPr>
            <w:tcW w:w="2432" w:type="dxa"/>
            <w:gridSpan w:val="2"/>
          </w:tcPr>
          <w:p w14:paraId="5B38BD7B" w14:textId="77777777" w:rsidR="00DC0DF7" w:rsidRPr="00C175FC" w:rsidRDefault="00DC0DF7" w:rsidP="00DC0DF7">
            <w:pPr>
              <w:pStyle w:val="sBullet"/>
              <w:numPr>
                <w:ilvl w:val="0"/>
                <w:numId w:val="0"/>
              </w:numPr>
              <w:spacing w:before="120" w:after="120"/>
              <w:contextualSpacing w:val="0"/>
            </w:pPr>
            <w:r>
              <w:t xml:space="preserve">EG – </w:t>
            </w:r>
            <w:proofErr w:type="spellStart"/>
            <w:r>
              <w:t>Richtlinie</w:t>
            </w:r>
            <w:proofErr w:type="spellEnd"/>
            <w:r>
              <w:t xml:space="preserve"> 96/29/EURATOM und </w:t>
            </w:r>
            <w:proofErr w:type="spellStart"/>
            <w:r>
              <w:t>Ergänzungen</w:t>
            </w:r>
            <w:proofErr w:type="spellEnd"/>
          </w:p>
          <w:p w14:paraId="2AC9ECCE" w14:textId="77777777" w:rsidR="00DC0DF7" w:rsidRPr="00C175FC" w:rsidRDefault="00DC0DF7" w:rsidP="00DC0DF7">
            <w:pPr>
              <w:pStyle w:val="sBullet"/>
              <w:numPr>
                <w:ilvl w:val="0"/>
                <w:numId w:val="0"/>
              </w:numPr>
              <w:spacing w:before="120" w:after="120"/>
              <w:contextualSpacing w:val="0"/>
            </w:pPr>
            <w:r>
              <w:t xml:space="preserve">USA- Nuclear Regulatory Commission, </w:t>
            </w:r>
            <w:proofErr w:type="spellStart"/>
            <w:r>
              <w:t>Titel</w:t>
            </w:r>
            <w:proofErr w:type="spellEnd"/>
            <w:r>
              <w:t xml:space="preserve"> 10, CFR </w:t>
            </w:r>
            <w:proofErr w:type="spellStart"/>
            <w:r>
              <w:t>Teil</w:t>
            </w:r>
            <w:proofErr w:type="spellEnd"/>
            <w:r>
              <w:t xml:space="preserve"> 20</w:t>
            </w:r>
          </w:p>
          <w:p w14:paraId="01C373C8" w14:textId="1F8E5B80" w:rsidR="00DC0DF7" w:rsidRPr="0038743A" w:rsidRDefault="00DC0DF7" w:rsidP="00DC0DF7">
            <w:pPr>
              <w:pStyle w:val="sBullet"/>
              <w:numPr>
                <w:ilvl w:val="0"/>
                <w:numId w:val="0"/>
              </w:numPr>
              <w:spacing w:before="120" w:after="120"/>
              <w:contextualSpacing w:val="0"/>
            </w:pPr>
            <w:r>
              <w:t xml:space="preserve">Japan – </w:t>
            </w:r>
            <w:proofErr w:type="spellStart"/>
            <w:r>
              <w:t>Gesetz</w:t>
            </w:r>
            <w:proofErr w:type="spellEnd"/>
            <w:r>
              <w:t xml:space="preserve"> </w:t>
            </w:r>
            <w:proofErr w:type="spellStart"/>
            <w:r>
              <w:t>zur</w:t>
            </w:r>
            <w:proofErr w:type="spellEnd"/>
            <w:r>
              <w:t xml:space="preserve"> </w:t>
            </w:r>
            <w:proofErr w:type="spellStart"/>
            <w:r>
              <w:t>Regulierung</w:t>
            </w:r>
            <w:proofErr w:type="spellEnd"/>
            <w:r>
              <w:t xml:space="preserve"> von </w:t>
            </w:r>
            <w:proofErr w:type="spellStart"/>
            <w:r>
              <w:t>atomaren</w:t>
            </w:r>
            <w:proofErr w:type="spellEnd"/>
            <w:r>
              <w:t xml:space="preserve"> </w:t>
            </w:r>
            <w:proofErr w:type="spellStart"/>
            <w:r>
              <w:t>Grundmaterialien</w:t>
            </w:r>
            <w:proofErr w:type="spellEnd"/>
            <w:r>
              <w:t xml:space="preserve">, </w:t>
            </w:r>
            <w:proofErr w:type="spellStart"/>
            <w:r>
              <w:t>Brennstoffen</w:t>
            </w:r>
            <w:proofErr w:type="spellEnd"/>
            <w:r>
              <w:t xml:space="preserve"> und </w:t>
            </w:r>
            <w:proofErr w:type="spellStart"/>
            <w:r>
              <w:t>Kernreaktoren</w:t>
            </w:r>
            <w:proofErr w:type="spellEnd"/>
            <w:r>
              <w:t>, 1986</w:t>
            </w:r>
          </w:p>
        </w:tc>
      </w:tr>
      <w:tr w:rsidR="00DC0DF7" w:rsidRPr="00BA64FA" w14:paraId="0A78F712"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24184672" w14:textId="3D0AE8E1" w:rsidR="00DC0DF7" w:rsidRPr="00BA64FA" w:rsidRDefault="00DC0DF7" w:rsidP="00DC0DF7">
            <w:pPr>
              <w:keepNext/>
              <w:keepLines/>
              <w:spacing w:before="120" w:after="120"/>
              <w:rPr>
                <w:color w:val="000000" w:themeColor="text1"/>
                <w:sz w:val="16"/>
                <w:szCs w:val="16"/>
              </w:rPr>
            </w:pPr>
            <w:proofErr w:type="spellStart"/>
            <w:r>
              <w:rPr>
                <w:rFonts w:cs="Times New Roman"/>
                <w:sz w:val="16"/>
                <w:szCs w:val="24"/>
              </w:rPr>
              <w:t>Gefahrenstoffverordnung</w:t>
            </w:r>
            <w:proofErr w:type="spellEnd"/>
            <w:r>
              <w:rPr>
                <w:rFonts w:cs="Times New Roman"/>
                <w:sz w:val="16"/>
                <w:szCs w:val="24"/>
              </w:rPr>
              <w:t xml:space="preserve"> (RoHS)</w:t>
            </w:r>
          </w:p>
        </w:tc>
        <w:tc>
          <w:tcPr>
            <w:tcW w:w="1094" w:type="dxa"/>
          </w:tcPr>
          <w:p w14:paraId="525357C8" w14:textId="767A5F4C" w:rsidR="00DC0DF7" w:rsidRPr="00BA64FA" w:rsidRDefault="00DC0DF7" w:rsidP="00DC0DF7">
            <w:pPr>
              <w:keepNext/>
              <w:keepLines/>
              <w:spacing w:before="120" w:after="120"/>
              <w:jc w:val="center"/>
              <w:rPr>
                <w:color w:val="000000" w:themeColor="text1"/>
                <w:sz w:val="16"/>
                <w:szCs w:val="16"/>
              </w:rPr>
            </w:pPr>
            <w:proofErr w:type="spellStart"/>
            <w:r>
              <w:rPr>
                <w:rFonts w:cs="Times New Roman"/>
                <w:sz w:val="16"/>
                <w:szCs w:val="24"/>
              </w:rPr>
              <w:t>Siehe</w:t>
            </w:r>
            <w:proofErr w:type="spellEnd"/>
            <w:r>
              <w:rPr>
                <w:rFonts w:cs="Times New Roman"/>
                <w:sz w:val="16"/>
                <w:szCs w:val="24"/>
              </w:rPr>
              <w:t xml:space="preserve"> </w:t>
            </w:r>
            <w:proofErr w:type="spellStart"/>
            <w:r>
              <w:rPr>
                <w:rFonts w:cs="Times New Roman"/>
                <w:sz w:val="16"/>
                <w:szCs w:val="24"/>
              </w:rPr>
              <w:t>Referenzen</w:t>
            </w:r>
            <w:proofErr w:type="spellEnd"/>
          </w:p>
        </w:tc>
        <w:tc>
          <w:tcPr>
            <w:tcW w:w="3959" w:type="dxa"/>
          </w:tcPr>
          <w:p w14:paraId="4FA6E743" w14:textId="77777777" w:rsidR="00DC0DF7" w:rsidRPr="003D5B90" w:rsidRDefault="00DC0DF7" w:rsidP="003D5B90">
            <w:pPr>
              <w:pStyle w:val="sBullet"/>
              <w:numPr>
                <w:ilvl w:val="0"/>
                <w:numId w:val="0"/>
              </w:numPr>
              <w:tabs>
                <w:tab w:val="left" w:pos="2824"/>
              </w:tabs>
              <w:spacing w:before="120" w:after="120"/>
              <w:contextualSpacing w:val="0"/>
            </w:pPr>
            <w:r w:rsidRPr="003D5B90">
              <w:t xml:space="preserve">Maximal </w:t>
            </w:r>
            <w:proofErr w:type="spellStart"/>
            <w:r w:rsidRPr="003D5B90">
              <w:t>zulässiger</w:t>
            </w:r>
            <w:proofErr w:type="spellEnd"/>
            <w:r w:rsidRPr="003D5B90">
              <w:t xml:space="preserve"> Wert der </w:t>
            </w:r>
            <w:proofErr w:type="spellStart"/>
            <w:r w:rsidRPr="003D5B90">
              <w:t>beschränkten</w:t>
            </w:r>
            <w:proofErr w:type="spellEnd"/>
            <w:r w:rsidRPr="003D5B90">
              <w:t xml:space="preserve"> </w:t>
            </w:r>
            <w:proofErr w:type="spellStart"/>
            <w:r w:rsidRPr="003D5B90">
              <w:t>Stoffe</w:t>
            </w:r>
            <w:proofErr w:type="spellEnd"/>
            <w:r w:rsidRPr="003D5B90">
              <w:t xml:space="preserve"> (</w:t>
            </w:r>
            <w:proofErr w:type="spellStart"/>
            <w:r w:rsidRPr="003D5B90">
              <w:t>Gewichtsprozent</w:t>
            </w:r>
            <w:proofErr w:type="spellEnd"/>
            <w:r w:rsidRPr="003D5B90">
              <w:t xml:space="preserve"> je </w:t>
            </w:r>
            <w:proofErr w:type="spellStart"/>
            <w:r w:rsidRPr="003D5B90">
              <w:t>homogenem</w:t>
            </w:r>
            <w:proofErr w:type="spellEnd"/>
            <w:r w:rsidRPr="003D5B90">
              <w:t xml:space="preserve"> </w:t>
            </w:r>
            <w:proofErr w:type="spellStart"/>
            <w:r w:rsidRPr="003D5B90">
              <w:t>Werkstoff</w:t>
            </w:r>
            <w:proofErr w:type="spellEnd"/>
            <w:r w:rsidRPr="003D5B90">
              <w:t>)</w:t>
            </w:r>
          </w:p>
          <w:p w14:paraId="5102CA88" w14:textId="77777777" w:rsidR="00DC0DF7" w:rsidRPr="003D5B90" w:rsidRDefault="00DC0DF7" w:rsidP="003D5B90">
            <w:pPr>
              <w:pStyle w:val="sBullet"/>
              <w:numPr>
                <w:ilvl w:val="0"/>
                <w:numId w:val="8"/>
              </w:numPr>
              <w:ind w:left="152" w:hanging="152"/>
              <w:contextualSpacing w:val="0"/>
            </w:pPr>
            <w:proofErr w:type="spellStart"/>
            <w:r w:rsidRPr="003D5B90">
              <w:t>Blei</w:t>
            </w:r>
            <w:proofErr w:type="spellEnd"/>
            <w:r w:rsidRPr="003D5B90">
              <w:t xml:space="preserve"> - 0,1% (1000 ppm)</w:t>
            </w:r>
          </w:p>
          <w:p w14:paraId="7320B166" w14:textId="77777777" w:rsidR="00DC0DF7" w:rsidRPr="003D5B90" w:rsidRDefault="00DC0DF7" w:rsidP="003D5B90">
            <w:pPr>
              <w:pStyle w:val="sBullet"/>
              <w:numPr>
                <w:ilvl w:val="0"/>
                <w:numId w:val="8"/>
              </w:numPr>
              <w:ind w:left="152" w:hanging="152"/>
              <w:contextualSpacing w:val="0"/>
            </w:pPr>
            <w:proofErr w:type="spellStart"/>
            <w:r w:rsidRPr="003D5B90">
              <w:t>Quecksilber</w:t>
            </w:r>
            <w:proofErr w:type="spellEnd"/>
            <w:r w:rsidRPr="003D5B90">
              <w:t xml:space="preserve"> - 0,1% (1000 ppm)</w:t>
            </w:r>
          </w:p>
          <w:p w14:paraId="484288C5" w14:textId="77777777" w:rsidR="00DC0DF7" w:rsidRPr="003D5B90" w:rsidRDefault="00DC0DF7" w:rsidP="003D5B90">
            <w:pPr>
              <w:pStyle w:val="sBullet"/>
              <w:numPr>
                <w:ilvl w:val="0"/>
                <w:numId w:val="8"/>
              </w:numPr>
              <w:ind w:left="152" w:hanging="152"/>
              <w:contextualSpacing w:val="0"/>
            </w:pPr>
            <w:r w:rsidRPr="003D5B90">
              <w:t>Cadmium - 0,01% (100 ppm)</w:t>
            </w:r>
          </w:p>
          <w:p w14:paraId="3B85CB01" w14:textId="77777777" w:rsidR="00DC0DF7" w:rsidRPr="003D5B90" w:rsidRDefault="00DC0DF7" w:rsidP="003D5B90">
            <w:pPr>
              <w:pStyle w:val="sBullet"/>
              <w:numPr>
                <w:ilvl w:val="0"/>
                <w:numId w:val="8"/>
              </w:numPr>
              <w:ind w:left="152" w:hanging="152"/>
              <w:contextualSpacing w:val="0"/>
            </w:pPr>
            <w:proofErr w:type="spellStart"/>
            <w:r w:rsidRPr="003D5B90">
              <w:t>Sechswertiges</w:t>
            </w:r>
            <w:proofErr w:type="spellEnd"/>
            <w:r w:rsidRPr="003D5B90">
              <w:t xml:space="preserve"> </w:t>
            </w:r>
            <w:proofErr w:type="spellStart"/>
            <w:r w:rsidRPr="003D5B90">
              <w:t>Chrom</w:t>
            </w:r>
            <w:proofErr w:type="spellEnd"/>
            <w:r w:rsidRPr="003D5B90">
              <w:t xml:space="preserve"> - 0,1% (1000 ppm)</w:t>
            </w:r>
          </w:p>
          <w:p w14:paraId="16C9AC40" w14:textId="77777777" w:rsidR="00DC0DF7" w:rsidRPr="003D5B90" w:rsidRDefault="00DC0DF7" w:rsidP="003D5B90">
            <w:pPr>
              <w:pStyle w:val="sBullet"/>
              <w:numPr>
                <w:ilvl w:val="0"/>
                <w:numId w:val="8"/>
              </w:numPr>
              <w:ind w:left="152" w:hanging="152"/>
              <w:contextualSpacing w:val="0"/>
            </w:pPr>
            <w:proofErr w:type="spellStart"/>
            <w:r w:rsidRPr="003D5B90">
              <w:t>Polybromierte</w:t>
            </w:r>
            <w:proofErr w:type="spellEnd"/>
            <w:r w:rsidRPr="003D5B90">
              <w:t xml:space="preserve"> </w:t>
            </w:r>
            <w:proofErr w:type="spellStart"/>
            <w:r w:rsidRPr="003D5B90">
              <w:t>Biphenyle</w:t>
            </w:r>
            <w:proofErr w:type="spellEnd"/>
            <w:r w:rsidRPr="003D5B90">
              <w:t xml:space="preserve"> - 0,1% (1000 ppm)</w:t>
            </w:r>
          </w:p>
          <w:p w14:paraId="5C9A6A5D" w14:textId="138A1330" w:rsidR="00DC0DF7" w:rsidRPr="003D5B90" w:rsidRDefault="00DC0DF7" w:rsidP="003D5B90">
            <w:pPr>
              <w:pStyle w:val="sBullet"/>
              <w:numPr>
                <w:ilvl w:val="0"/>
                <w:numId w:val="8"/>
              </w:numPr>
              <w:ind w:left="152" w:hanging="152"/>
              <w:contextualSpacing w:val="0"/>
            </w:pPr>
            <w:proofErr w:type="spellStart"/>
            <w:r w:rsidRPr="003D5B90">
              <w:t>Polybromierte</w:t>
            </w:r>
            <w:proofErr w:type="spellEnd"/>
            <w:r w:rsidRPr="003D5B90">
              <w:t xml:space="preserve"> </w:t>
            </w:r>
            <w:proofErr w:type="spellStart"/>
            <w:r w:rsidRPr="003D5B90">
              <w:t>Diphenylether</w:t>
            </w:r>
            <w:proofErr w:type="spellEnd"/>
            <w:r w:rsidRPr="003D5B90">
              <w:t xml:space="preserve"> (PBDE) und </w:t>
            </w:r>
            <w:proofErr w:type="spellStart"/>
            <w:r w:rsidRPr="003D5B90">
              <w:t>Decabrombiphenyl</w:t>
            </w:r>
            <w:proofErr w:type="spellEnd"/>
            <w:r w:rsidRPr="003D5B90">
              <w:t xml:space="preserve"> (Deca-BDE) - 0,1% (1000 ppm)</w:t>
            </w:r>
          </w:p>
          <w:p w14:paraId="2AEF5451" w14:textId="77777777" w:rsidR="00DC0DF7" w:rsidRPr="003D5B90" w:rsidRDefault="00DC0DF7" w:rsidP="003D5B90">
            <w:pPr>
              <w:pStyle w:val="sBullet"/>
              <w:numPr>
                <w:ilvl w:val="0"/>
                <w:numId w:val="8"/>
              </w:numPr>
              <w:ind w:left="152" w:hanging="152"/>
              <w:contextualSpacing w:val="0"/>
            </w:pPr>
            <w:r w:rsidRPr="003D5B90">
              <w:t>Bis(2-</w:t>
            </w:r>
            <w:proofErr w:type="gramStart"/>
            <w:r w:rsidRPr="003D5B90">
              <w:t>ethylhexyl)</w:t>
            </w:r>
            <w:proofErr w:type="spellStart"/>
            <w:r w:rsidRPr="003D5B90">
              <w:t>phthalat</w:t>
            </w:r>
            <w:proofErr w:type="spellEnd"/>
            <w:proofErr w:type="gramEnd"/>
            <w:r w:rsidRPr="003D5B90">
              <w:t xml:space="preserve"> (DEHP) - 0,1% (1000 ppm)</w:t>
            </w:r>
          </w:p>
          <w:p w14:paraId="3A827BCC" w14:textId="77777777" w:rsidR="00DC0DF7" w:rsidRPr="003D5B90" w:rsidRDefault="00DC0DF7" w:rsidP="003D5B90">
            <w:pPr>
              <w:pStyle w:val="sBullet"/>
              <w:numPr>
                <w:ilvl w:val="0"/>
                <w:numId w:val="8"/>
              </w:numPr>
              <w:ind w:left="152" w:hanging="152"/>
              <w:contextualSpacing w:val="0"/>
            </w:pPr>
            <w:proofErr w:type="spellStart"/>
            <w:r w:rsidRPr="003D5B90">
              <w:t>Benzylbutylphthalat</w:t>
            </w:r>
            <w:proofErr w:type="spellEnd"/>
            <w:r w:rsidRPr="003D5B90">
              <w:t xml:space="preserve"> (BBP) - 0,1% (1000 ppm)</w:t>
            </w:r>
          </w:p>
          <w:p w14:paraId="3AD408D1" w14:textId="77777777" w:rsidR="00DC0DF7" w:rsidRPr="003D5B90" w:rsidRDefault="00DC0DF7" w:rsidP="003D5B90">
            <w:pPr>
              <w:pStyle w:val="sBullet"/>
              <w:numPr>
                <w:ilvl w:val="0"/>
                <w:numId w:val="8"/>
              </w:numPr>
              <w:ind w:left="152" w:hanging="152"/>
              <w:contextualSpacing w:val="0"/>
            </w:pPr>
            <w:proofErr w:type="spellStart"/>
            <w:r w:rsidRPr="003D5B90">
              <w:t>Dibutylphthalat</w:t>
            </w:r>
            <w:proofErr w:type="spellEnd"/>
            <w:r w:rsidRPr="003D5B90">
              <w:t xml:space="preserve"> (BBP) - 0,1% (1000 ppm)</w:t>
            </w:r>
          </w:p>
          <w:p w14:paraId="73630D3E" w14:textId="77777777" w:rsidR="00DC0DF7" w:rsidRPr="003D5B90" w:rsidRDefault="00DC0DF7" w:rsidP="003D5B90">
            <w:pPr>
              <w:pStyle w:val="sBullet"/>
              <w:numPr>
                <w:ilvl w:val="0"/>
                <w:numId w:val="8"/>
              </w:numPr>
              <w:ind w:left="152" w:hanging="152"/>
              <w:contextualSpacing w:val="0"/>
            </w:pPr>
            <w:proofErr w:type="spellStart"/>
            <w:r w:rsidRPr="003D5B90">
              <w:t>Diisobutylphthalat</w:t>
            </w:r>
            <w:proofErr w:type="spellEnd"/>
            <w:r w:rsidRPr="003D5B90">
              <w:t xml:space="preserve"> (BBP) - 0,1% (1000 ppm)</w:t>
            </w:r>
          </w:p>
          <w:p w14:paraId="3A000321" w14:textId="77777777" w:rsidR="00DC0DF7" w:rsidRPr="003D5B90" w:rsidRDefault="00DC0DF7" w:rsidP="003D5B90">
            <w:pPr>
              <w:pStyle w:val="sBullet"/>
              <w:numPr>
                <w:ilvl w:val="0"/>
                <w:numId w:val="0"/>
              </w:numPr>
              <w:spacing w:before="120" w:after="120"/>
              <w:contextualSpacing w:val="0"/>
            </w:pPr>
            <w:proofErr w:type="spellStart"/>
            <w:r w:rsidRPr="003D5B90">
              <w:t>Hinweise</w:t>
            </w:r>
            <w:proofErr w:type="spellEnd"/>
            <w:r w:rsidRPr="003D5B90">
              <w:t>:</w:t>
            </w:r>
          </w:p>
          <w:p w14:paraId="2D84C95A" w14:textId="77777777" w:rsidR="00DC0DF7" w:rsidRPr="003D5B90" w:rsidRDefault="00DC0DF7" w:rsidP="003D5B90">
            <w:pPr>
              <w:pStyle w:val="sBullet"/>
              <w:numPr>
                <w:ilvl w:val="0"/>
                <w:numId w:val="7"/>
              </w:numPr>
              <w:spacing w:before="120" w:after="120"/>
              <w:ind w:left="242" w:hanging="242"/>
            </w:pPr>
            <w:r w:rsidRPr="003D5B90">
              <w:t xml:space="preserve">Gilt </w:t>
            </w:r>
            <w:proofErr w:type="spellStart"/>
            <w:r w:rsidRPr="003D5B90">
              <w:t>für</w:t>
            </w:r>
            <w:proofErr w:type="spellEnd"/>
            <w:r w:rsidRPr="003D5B90">
              <w:t xml:space="preserve"> </w:t>
            </w:r>
            <w:proofErr w:type="spellStart"/>
            <w:r w:rsidRPr="003D5B90">
              <w:t>alle</w:t>
            </w:r>
            <w:proofErr w:type="spellEnd"/>
            <w:r w:rsidRPr="003D5B90">
              <w:t xml:space="preserve"> </w:t>
            </w:r>
            <w:proofErr w:type="spellStart"/>
            <w:r w:rsidRPr="003D5B90">
              <w:t>Teile</w:t>
            </w:r>
            <w:proofErr w:type="spellEnd"/>
            <w:r w:rsidRPr="003D5B90">
              <w:t xml:space="preserve"> und </w:t>
            </w:r>
            <w:proofErr w:type="spellStart"/>
            <w:r w:rsidRPr="003D5B90">
              <w:t>Materialien</w:t>
            </w:r>
            <w:proofErr w:type="spellEnd"/>
            <w:r w:rsidRPr="003D5B90">
              <w:t xml:space="preserve">, die an X-Rite </w:t>
            </w:r>
            <w:proofErr w:type="spellStart"/>
            <w:r w:rsidRPr="003D5B90">
              <w:t>geliefert</w:t>
            </w:r>
            <w:proofErr w:type="spellEnd"/>
            <w:r w:rsidRPr="003D5B90">
              <w:t xml:space="preserve"> </w:t>
            </w:r>
            <w:proofErr w:type="spellStart"/>
            <w:r w:rsidRPr="003D5B90">
              <w:t>werden</w:t>
            </w:r>
            <w:proofErr w:type="spellEnd"/>
            <w:r w:rsidRPr="003D5B90">
              <w:t xml:space="preserve"> und die </w:t>
            </w:r>
            <w:proofErr w:type="spellStart"/>
            <w:r w:rsidRPr="003D5B90">
              <w:t>zu</w:t>
            </w:r>
            <w:proofErr w:type="spellEnd"/>
            <w:r w:rsidRPr="003D5B90">
              <w:t xml:space="preserve"> </w:t>
            </w:r>
            <w:proofErr w:type="spellStart"/>
            <w:r w:rsidRPr="003D5B90">
              <w:t>elektrischen</w:t>
            </w:r>
            <w:proofErr w:type="spellEnd"/>
            <w:r w:rsidRPr="003D5B90">
              <w:t xml:space="preserve"> und </w:t>
            </w:r>
            <w:proofErr w:type="spellStart"/>
            <w:r w:rsidRPr="003D5B90">
              <w:t>elektronischen</w:t>
            </w:r>
            <w:proofErr w:type="spellEnd"/>
            <w:r w:rsidRPr="003D5B90">
              <w:t xml:space="preserve"> </w:t>
            </w:r>
            <w:proofErr w:type="spellStart"/>
            <w:r w:rsidRPr="003D5B90">
              <w:t>Geräten</w:t>
            </w:r>
            <w:proofErr w:type="spellEnd"/>
            <w:r w:rsidRPr="003D5B90">
              <w:t xml:space="preserve"> </w:t>
            </w:r>
            <w:proofErr w:type="spellStart"/>
            <w:r w:rsidRPr="003D5B90">
              <w:t>gehören</w:t>
            </w:r>
            <w:proofErr w:type="spellEnd"/>
            <w:r w:rsidRPr="003D5B90">
              <w:t xml:space="preserve">. </w:t>
            </w:r>
            <w:proofErr w:type="spellStart"/>
            <w:r w:rsidRPr="003D5B90">
              <w:t>Ausgenommen</w:t>
            </w:r>
            <w:proofErr w:type="spellEnd"/>
            <w:r w:rsidRPr="003D5B90">
              <w:t xml:space="preserve">: </w:t>
            </w:r>
            <w:proofErr w:type="spellStart"/>
            <w:r w:rsidRPr="003D5B90">
              <w:t>für</w:t>
            </w:r>
            <w:proofErr w:type="spellEnd"/>
            <w:r w:rsidRPr="003D5B90">
              <w:t xml:space="preserve"> </w:t>
            </w:r>
            <w:proofErr w:type="spellStart"/>
            <w:r w:rsidRPr="003D5B90">
              <w:t>Schwermetalle</w:t>
            </w:r>
            <w:proofErr w:type="spellEnd"/>
            <w:r w:rsidRPr="003D5B90">
              <w:t xml:space="preserve"> in </w:t>
            </w:r>
            <w:proofErr w:type="spellStart"/>
            <w:r w:rsidRPr="003D5B90">
              <w:t>Batterien</w:t>
            </w:r>
            <w:proofErr w:type="spellEnd"/>
            <w:r w:rsidRPr="003D5B90">
              <w:t>/</w:t>
            </w:r>
            <w:proofErr w:type="spellStart"/>
            <w:r w:rsidRPr="003D5B90">
              <w:t>Akkus</w:t>
            </w:r>
            <w:proofErr w:type="spellEnd"/>
            <w:r w:rsidRPr="003D5B90">
              <w:t xml:space="preserve"> und in </w:t>
            </w:r>
            <w:proofErr w:type="spellStart"/>
            <w:r w:rsidRPr="003D5B90">
              <w:t>Verpackungen</w:t>
            </w:r>
            <w:proofErr w:type="spellEnd"/>
            <w:r w:rsidRPr="003D5B90">
              <w:t xml:space="preserve"> </w:t>
            </w:r>
            <w:proofErr w:type="spellStart"/>
            <w:r w:rsidRPr="003D5B90">
              <w:t>wie</w:t>
            </w:r>
            <w:proofErr w:type="spellEnd"/>
            <w:r w:rsidRPr="003D5B90">
              <w:t xml:space="preserve"> in </w:t>
            </w:r>
            <w:proofErr w:type="spellStart"/>
            <w:r w:rsidRPr="003D5B90">
              <w:t>dieser</w:t>
            </w:r>
            <w:proofErr w:type="spellEnd"/>
            <w:r w:rsidRPr="003D5B90">
              <w:t xml:space="preserve"> </w:t>
            </w:r>
            <w:proofErr w:type="spellStart"/>
            <w:r w:rsidRPr="003D5B90">
              <w:t>Tabelle</w:t>
            </w:r>
            <w:proofErr w:type="spellEnd"/>
            <w:r w:rsidRPr="003D5B90">
              <w:t xml:space="preserve"> </w:t>
            </w:r>
            <w:proofErr w:type="spellStart"/>
            <w:r w:rsidRPr="003D5B90">
              <w:t>für</w:t>
            </w:r>
            <w:proofErr w:type="spellEnd"/>
            <w:r w:rsidRPr="003D5B90">
              <w:t xml:space="preserve"> </w:t>
            </w:r>
            <w:proofErr w:type="spellStart"/>
            <w:r w:rsidRPr="003D5B90">
              <w:t>diese</w:t>
            </w:r>
            <w:proofErr w:type="spellEnd"/>
            <w:r w:rsidRPr="003D5B90">
              <w:t xml:space="preserve"> </w:t>
            </w:r>
            <w:proofErr w:type="spellStart"/>
            <w:r w:rsidRPr="003D5B90">
              <w:t>Elemente</w:t>
            </w:r>
            <w:proofErr w:type="spellEnd"/>
            <w:r w:rsidRPr="003D5B90">
              <w:t xml:space="preserve"> </w:t>
            </w:r>
            <w:proofErr w:type="spellStart"/>
            <w:r w:rsidRPr="003D5B90">
              <w:t>aufgeführt</w:t>
            </w:r>
            <w:proofErr w:type="spellEnd"/>
            <w:r w:rsidRPr="003D5B90">
              <w:t>.</w:t>
            </w:r>
          </w:p>
          <w:p w14:paraId="5A2D5CA8" w14:textId="77777777" w:rsidR="00DC0DF7" w:rsidRPr="003D5B90" w:rsidRDefault="00DC0DF7" w:rsidP="003D5B90">
            <w:pPr>
              <w:pStyle w:val="sBullet"/>
              <w:numPr>
                <w:ilvl w:val="0"/>
                <w:numId w:val="7"/>
              </w:numPr>
              <w:spacing w:before="120" w:after="120"/>
              <w:ind w:left="242" w:hanging="242"/>
            </w:pPr>
            <w:proofErr w:type="spellStart"/>
            <w:r w:rsidRPr="003D5B90">
              <w:t>Weitere</w:t>
            </w:r>
            <w:proofErr w:type="spellEnd"/>
            <w:r w:rsidRPr="003D5B90">
              <w:t xml:space="preserve"> </w:t>
            </w:r>
            <w:proofErr w:type="spellStart"/>
            <w:r w:rsidRPr="003D5B90">
              <w:t>Informationen</w:t>
            </w:r>
            <w:proofErr w:type="spellEnd"/>
            <w:r w:rsidRPr="003D5B90">
              <w:t xml:space="preserve"> in den </w:t>
            </w:r>
            <w:proofErr w:type="spellStart"/>
            <w:r w:rsidRPr="003D5B90">
              <w:t>Richtlinien</w:t>
            </w:r>
            <w:proofErr w:type="spellEnd"/>
            <w:r w:rsidRPr="003D5B90">
              <w:t xml:space="preserve">, </w:t>
            </w:r>
            <w:proofErr w:type="spellStart"/>
            <w:r w:rsidRPr="003D5B90">
              <w:t>für</w:t>
            </w:r>
            <w:proofErr w:type="spellEnd"/>
            <w:r w:rsidRPr="003D5B90">
              <w:t xml:space="preserve"> die </w:t>
            </w:r>
            <w:proofErr w:type="spellStart"/>
            <w:r w:rsidRPr="003D5B90">
              <w:t>genauen</w:t>
            </w:r>
            <w:proofErr w:type="spellEnd"/>
            <w:r w:rsidRPr="003D5B90">
              <w:t xml:space="preserve"> </w:t>
            </w:r>
            <w:proofErr w:type="spellStart"/>
            <w:r w:rsidRPr="003D5B90">
              <w:t>Beschränkungskriterien</w:t>
            </w:r>
            <w:proofErr w:type="spellEnd"/>
            <w:r w:rsidRPr="003D5B90">
              <w:t xml:space="preserve"> und </w:t>
            </w:r>
            <w:proofErr w:type="spellStart"/>
            <w:r w:rsidRPr="003D5B90">
              <w:t>mögliche</w:t>
            </w:r>
            <w:proofErr w:type="spellEnd"/>
            <w:r w:rsidRPr="003D5B90">
              <w:t xml:space="preserve"> </w:t>
            </w:r>
            <w:proofErr w:type="spellStart"/>
            <w:r w:rsidRPr="003D5B90">
              <w:t>Ausnahmen</w:t>
            </w:r>
            <w:proofErr w:type="spellEnd"/>
            <w:r w:rsidRPr="003D5B90">
              <w:t xml:space="preserve"> und </w:t>
            </w:r>
            <w:proofErr w:type="spellStart"/>
            <w:r w:rsidRPr="003D5B90">
              <w:t>Anwendungsbereiche</w:t>
            </w:r>
            <w:proofErr w:type="spellEnd"/>
          </w:p>
          <w:p w14:paraId="540E42E9" w14:textId="77777777" w:rsidR="003D5B90" w:rsidRDefault="00DC0DF7" w:rsidP="003D5B90">
            <w:pPr>
              <w:pStyle w:val="sBullet"/>
              <w:numPr>
                <w:ilvl w:val="0"/>
                <w:numId w:val="7"/>
              </w:numPr>
              <w:spacing w:before="120"/>
              <w:ind w:left="242" w:hanging="242"/>
            </w:pPr>
            <w:proofErr w:type="spellStart"/>
            <w:r w:rsidRPr="003D5B90">
              <w:t>Jegliche</w:t>
            </w:r>
            <w:proofErr w:type="spellEnd"/>
            <w:r w:rsidRPr="003D5B90">
              <w:t xml:space="preserve"> </w:t>
            </w:r>
            <w:proofErr w:type="spellStart"/>
            <w:r w:rsidRPr="003D5B90">
              <w:t>Ausnahmen</w:t>
            </w:r>
            <w:proofErr w:type="spellEnd"/>
            <w:r w:rsidRPr="003D5B90">
              <w:t xml:space="preserve"> </w:t>
            </w:r>
            <w:proofErr w:type="spellStart"/>
            <w:r w:rsidRPr="003D5B90">
              <w:t>zu</w:t>
            </w:r>
            <w:proofErr w:type="spellEnd"/>
            <w:r w:rsidRPr="003D5B90">
              <w:t xml:space="preserve"> RoHS-</w:t>
            </w:r>
            <w:proofErr w:type="spellStart"/>
            <w:r w:rsidRPr="003D5B90">
              <w:t>Anwendungen</w:t>
            </w:r>
            <w:proofErr w:type="spellEnd"/>
            <w:r w:rsidRPr="003D5B90">
              <w:t xml:space="preserve"> </w:t>
            </w:r>
            <w:proofErr w:type="spellStart"/>
            <w:r w:rsidRPr="003D5B90">
              <w:t>wie</w:t>
            </w:r>
            <w:proofErr w:type="spellEnd"/>
            <w:r w:rsidRPr="003D5B90">
              <w:t xml:space="preserve"> in </w:t>
            </w:r>
            <w:proofErr w:type="spellStart"/>
            <w:r w:rsidRPr="003D5B90">
              <w:t>Anhang</w:t>
            </w:r>
            <w:proofErr w:type="spellEnd"/>
            <w:r w:rsidRPr="003D5B90">
              <w:t xml:space="preserve"> III </w:t>
            </w:r>
            <w:proofErr w:type="spellStart"/>
            <w:r w:rsidRPr="003D5B90">
              <w:t>und</w:t>
            </w:r>
            <w:proofErr w:type="spellEnd"/>
            <w:r w:rsidRPr="003D5B90">
              <w:t xml:space="preserve"> IV der </w:t>
            </w:r>
            <w:proofErr w:type="spellStart"/>
            <w:r w:rsidRPr="003D5B90">
              <w:t>Richtlinien</w:t>
            </w:r>
            <w:proofErr w:type="spellEnd"/>
            <w:r w:rsidRPr="003D5B90">
              <w:t xml:space="preserve"> </w:t>
            </w:r>
            <w:proofErr w:type="spellStart"/>
            <w:r w:rsidRPr="003D5B90">
              <w:t>beschrieben</w:t>
            </w:r>
            <w:proofErr w:type="spellEnd"/>
            <w:r w:rsidRPr="003D5B90">
              <w:t xml:space="preserve">, die </w:t>
            </w:r>
            <w:proofErr w:type="spellStart"/>
            <w:r w:rsidRPr="003D5B90">
              <w:t>für</w:t>
            </w:r>
            <w:proofErr w:type="spellEnd"/>
            <w:r w:rsidRPr="003D5B90">
              <w:t xml:space="preserve"> die </w:t>
            </w:r>
            <w:proofErr w:type="spellStart"/>
            <w:r w:rsidRPr="003D5B90">
              <w:t>Rechtfertigung</w:t>
            </w:r>
            <w:proofErr w:type="spellEnd"/>
            <w:r w:rsidRPr="003D5B90">
              <w:t xml:space="preserve"> von </w:t>
            </w:r>
            <w:proofErr w:type="spellStart"/>
            <w:r w:rsidRPr="003D5B90">
              <w:t>Abweichungen</w:t>
            </w:r>
            <w:proofErr w:type="spellEnd"/>
            <w:r w:rsidRPr="003D5B90">
              <w:t xml:space="preserve"> von den </w:t>
            </w:r>
            <w:proofErr w:type="spellStart"/>
            <w:r w:rsidRPr="003D5B90">
              <w:t>obigen</w:t>
            </w:r>
            <w:proofErr w:type="spellEnd"/>
            <w:r w:rsidRPr="003D5B90">
              <w:t xml:space="preserve"> </w:t>
            </w:r>
            <w:proofErr w:type="spellStart"/>
            <w:r w:rsidRPr="003D5B90">
              <w:t>Einschränkungen</w:t>
            </w:r>
            <w:proofErr w:type="spellEnd"/>
            <w:r w:rsidRPr="003D5B90">
              <w:t xml:space="preserve"> </w:t>
            </w:r>
            <w:proofErr w:type="spellStart"/>
            <w:r w:rsidRPr="003D5B90">
              <w:t>verwendet</w:t>
            </w:r>
            <w:proofErr w:type="spellEnd"/>
            <w:r w:rsidRPr="003D5B90">
              <w:t xml:space="preserve"> </w:t>
            </w:r>
            <w:proofErr w:type="spellStart"/>
            <w:r w:rsidRPr="003D5B90">
              <w:t>werden</w:t>
            </w:r>
            <w:proofErr w:type="spellEnd"/>
            <w:r w:rsidRPr="003D5B90">
              <w:t xml:space="preserve"> </w:t>
            </w:r>
            <w:proofErr w:type="spellStart"/>
            <w:r w:rsidRPr="003D5B90">
              <w:t>sollen</w:t>
            </w:r>
            <w:proofErr w:type="spellEnd"/>
            <w:r w:rsidRPr="003D5B90">
              <w:t xml:space="preserve">, </w:t>
            </w:r>
            <w:proofErr w:type="spellStart"/>
            <w:r w:rsidRPr="003D5B90">
              <w:t>sollen</w:t>
            </w:r>
            <w:proofErr w:type="spellEnd"/>
            <w:r w:rsidRPr="003D5B90">
              <w:t xml:space="preserve"> </w:t>
            </w:r>
            <w:proofErr w:type="spellStart"/>
            <w:r w:rsidRPr="003D5B90">
              <w:t>ausdrücklich</w:t>
            </w:r>
            <w:proofErr w:type="spellEnd"/>
            <w:r w:rsidRPr="003D5B90">
              <w:t xml:space="preserve"> </w:t>
            </w:r>
            <w:proofErr w:type="spellStart"/>
            <w:r w:rsidRPr="003D5B90">
              <w:t>aufgeführt</w:t>
            </w:r>
            <w:proofErr w:type="spellEnd"/>
            <w:r w:rsidRPr="003D5B90">
              <w:t xml:space="preserve"> und </w:t>
            </w:r>
            <w:proofErr w:type="spellStart"/>
            <w:r w:rsidRPr="003D5B90">
              <w:t>im</w:t>
            </w:r>
            <w:proofErr w:type="spellEnd"/>
            <w:r w:rsidRPr="003D5B90">
              <w:t xml:space="preserve"> </w:t>
            </w:r>
            <w:proofErr w:type="spellStart"/>
            <w:r w:rsidRPr="003D5B90">
              <w:t>Stoffinformationsbericht</w:t>
            </w:r>
            <w:proofErr w:type="spellEnd"/>
            <w:r w:rsidRPr="003D5B90">
              <w:t xml:space="preserve">, der an X-Rite </w:t>
            </w:r>
            <w:proofErr w:type="spellStart"/>
            <w:r w:rsidRPr="003D5B90">
              <w:t>gesendet</w:t>
            </w:r>
            <w:proofErr w:type="spellEnd"/>
            <w:r w:rsidRPr="003D5B90">
              <w:t xml:space="preserve"> </w:t>
            </w:r>
            <w:proofErr w:type="spellStart"/>
            <w:r w:rsidRPr="003D5B90">
              <w:t>wird</w:t>
            </w:r>
            <w:proofErr w:type="spellEnd"/>
            <w:r w:rsidRPr="003D5B90">
              <w:t xml:space="preserve">, </w:t>
            </w:r>
            <w:proofErr w:type="spellStart"/>
            <w:r w:rsidRPr="003D5B90">
              <w:t>gerechtfertigt</w:t>
            </w:r>
            <w:proofErr w:type="spellEnd"/>
            <w:r w:rsidRPr="003D5B90">
              <w:t xml:space="preserve"> </w:t>
            </w:r>
            <w:proofErr w:type="spellStart"/>
            <w:r w:rsidRPr="003D5B90">
              <w:t>werden</w:t>
            </w:r>
            <w:proofErr w:type="spellEnd"/>
            <w:r w:rsidRPr="003D5B90">
              <w:t xml:space="preserve">, da </w:t>
            </w:r>
            <w:proofErr w:type="spellStart"/>
            <w:r w:rsidRPr="003D5B90">
              <w:t>diese</w:t>
            </w:r>
            <w:proofErr w:type="spellEnd"/>
            <w:r w:rsidRPr="003D5B90">
              <w:t xml:space="preserve"> </w:t>
            </w:r>
            <w:proofErr w:type="spellStart"/>
            <w:r w:rsidRPr="003D5B90">
              <w:t>auch</w:t>
            </w:r>
            <w:proofErr w:type="spellEnd"/>
            <w:r w:rsidRPr="003D5B90">
              <w:t xml:space="preserve"> </w:t>
            </w:r>
            <w:proofErr w:type="spellStart"/>
            <w:r w:rsidRPr="003D5B90">
              <w:t>für</w:t>
            </w:r>
            <w:proofErr w:type="spellEnd"/>
            <w:r w:rsidRPr="003D5B90">
              <w:t xml:space="preserve"> </w:t>
            </w:r>
            <w:proofErr w:type="spellStart"/>
            <w:r w:rsidRPr="003D5B90">
              <w:t>andere</w:t>
            </w:r>
            <w:proofErr w:type="spellEnd"/>
            <w:r w:rsidRPr="003D5B90">
              <w:t xml:space="preserve"> </w:t>
            </w:r>
            <w:proofErr w:type="spellStart"/>
            <w:r w:rsidRPr="003D5B90">
              <w:t>Anforderungen</w:t>
            </w:r>
            <w:proofErr w:type="spellEnd"/>
            <w:r w:rsidRPr="003D5B90">
              <w:t xml:space="preserve"> </w:t>
            </w:r>
            <w:proofErr w:type="spellStart"/>
            <w:r w:rsidRPr="003D5B90">
              <w:t>wie</w:t>
            </w:r>
            <w:proofErr w:type="spellEnd"/>
            <w:r w:rsidRPr="003D5B90">
              <w:t xml:space="preserve"> China RoHS </w:t>
            </w:r>
            <w:proofErr w:type="spellStart"/>
            <w:r w:rsidRPr="003D5B90">
              <w:t>zutreffen</w:t>
            </w:r>
            <w:proofErr w:type="spellEnd"/>
            <w:r w:rsidRPr="003D5B90">
              <w:t>.</w:t>
            </w:r>
          </w:p>
          <w:p w14:paraId="075EA8B7" w14:textId="2FCFDAEB" w:rsidR="003D5B90" w:rsidRPr="003D5B90" w:rsidRDefault="003D5B90" w:rsidP="003D5B90">
            <w:pPr>
              <w:pStyle w:val="sBullet"/>
              <w:numPr>
                <w:ilvl w:val="0"/>
                <w:numId w:val="7"/>
              </w:numPr>
              <w:spacing w:before="120"/>
              <w:ind w:left="242" w:hanging="242"/>
            </w:pPr>
            <w:r w:rsidRPr="003D5B90">
              <w:rPr>
                <w:color w:val="222222"/>
                <w:lang w:val="de-DE"/>
              </w:rPr>
              <w:t>Die Beschränkung der vier Phthalate gilt erst ab dem 22. Juli 2021 für medizinische und industrielle Überwachungs- und Kontrollgeräte.</w:t>
            </w:r>
          </w:p>
          <w:p w14:paraId="625B81B9" w14:textId="0D656EF7" w:rsidR="00DC0DF7" w:rsidRPr="003D5B90" w:rsidRDefault="00DC0DF7" w:rsidP="003D5B90">
            <w:pPr>
              <w:pStyle w:val="sBullet"/>
              <w:numPr>
                <w:ilvl w:val="0"/>
                <w:numId w:val="0"/>
              </w:numPr>
              <w:spacing w:before="120" w:after="120"/>
            </w:pPr>
          </w:p>
        </w:tc>
        <w:tc>
          <w:tcPr>
            <w:tcW w:w="2425" w:type="dxa"/>
          </w:tcPr>
          <w:p w14:paraId="6B8C8FE3" w14:textId="0C8B9581" w:rsidR="00543817" w:rsidRPr="001E79FD" w:rsidRDefault="001E79FD" w:rsidP="001E7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16"/>
                <w:szCs w:val="16"/>
              </w:rPr>
            </w:pPr>
            <w:r w:rsidRPr="001913BE">
              <w:rPr>
                <w:rFonts w:eastAsia="Times New Roman"/>
                <w:color w:val="222222"/>
                <w:sz w:val="16"/>
                <w:szCs w:val="16"/>
                <w:lang w:val="de-DE"/>
              </w:rPr>
              <w:t xml:space="preserve">EU - Richtlinie (EU) 2015/863 </w:t>
            </w:r>
            <w:r w:rsidRPr="001913BE">
              <w:rPr>
                <w:color w:val="000000"/>
                <w:sz w:val="16"/>
                <w:szCs w:val="16"/>
                <w:lang w:val="de-DE"/>
              </w:rPr>
              <w:t>und Ergänzungen</w:t>
            </w:r>
          </w:p>
        </w:tc>
      </w:tr>
      <w:tr w:rsidR="00DC0DF7" w:rsidRPr="00BA64FA" w14:paraId="01C373D1"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0CD8C62E" w14:textId="77777777" w:rsidR="00DC0DF7" w:rsidRPr="00D0185A" w:rsidRDefault="00DC0DF7" w:rsidP="00DC0DF7">
            <w:pPr>
              <w:keepNext/>
              <w:keepLines/>
              <w:spacing w:before="120" w:after="120"/>
              <w:rPr>
                <w:color w:val="000000"/>
                <w:sz w:val="16"/>
                <w:szCs w:val="16"/>
              </w:rPr>
            </w:pPr>
            <w:proofErr w:type="spellStart"/>
            <w:r>
              <w:rPr>
                <w:color w:val="000000"/>
                <w:sz w:val="16"/>
                <w:szCs w:val="16"/>
              </w:rPr>
              <w:lastRenderedPageBreak/>
              <w:t>Kurzkettige</w:t>
            </w:r>
            <w:proofErr w:type="spellEnd"/>
            <w:r>
              <w:rPr>
                <w:color w:val="000000"/>
                <w:sz w:val="16"/>
                <w:szCs w:val="16"/>
              </w:rPr>
              <w:t xml:space="preserve"> </w:t>
            </w:r>
            <w:proofErr w:type="spellStart"/>
            <w:r>
              <w:rPr>
                <w:color w:val="000000"/>
                <w:sz w:val="16"/>
                <w:szCs w:val="16"/>
              </w:rPr>
              <w:t>Chlorparaffine</w:t>
            </w:r>
            <w:proofErr w:type="spellEnd"/>
            <w:r>
              <w:rPr>
                <w:color w:val="000000"/>
                <w:sz w:val="16"/>
                <w:szCs w:val="16"/>
              </w:rPr>
              <w:t xml:space="preserve"> (SCCP) </w:t>
            </w:r>
          </w:p>
          <w:p w14:paraId="01C373CB" w14:textId="73378FC6" w:rsidR="00DC0DF7" w:rsidRPr="00BA64FA" w:rsidRDefault="00DC0DF7" w:rsidP="00DC0DF7">
            <w:pPr>
              <w:keepNext/>
              <w:keepLines/>
              <w:spacing w:before="120" w:after="120"/>
              <w:rPr>
                <w:color w:val="000000" w:themeColor="text1"/>
                <w:sz w:val="16"/>
                <w:szCs w:val="16"/>
              </w:rPr>
            </w:pPr>
            <w:r>
              <w:rPr>
                <w:color w:val="000000"/>
                <w:sz w:val="16"/>
                <w:szCs w:val="16"/>
              </w:rPr>
              <w:t>C</w:t>
            </w:r>
            <w:r>
              <w:rPr>
                <w:color w:val="000000"/>
                <w:sz w:val="16"/>
                <w:szCs w:val="16"/>
                <w:vertAlign w:val="subscript"/>
              </w:rPr>
              <w:t>10</w:t>
            </w:r>
            <w:r>
              <w:rPr>
                <w:color w:val="000000"/>
                <w:sz w:val="16"/>
                <w:szCs w:val="16"/>
              </w:rPr>
              <w:t>-C</w:t>
            </w:r>
            <w:r>
              <w:rPr>
                <w:color w:val="000000"/>
                <w:sz w:val="16"/>
                <w:szCs w:val="16"/>
                <w:vertAlign w:val="subscript"/>
              </w:rPr>
              <w:t>13</w:t>
            </w:r>
          </w:p>
        </w:tc>
        <w:tc>
          <w:tcPr>
            <w:tcW w:w="1094" w:type="dxa"/>
          </w:tcPr>
          <w:p w14:paraId="01C373CC" w14:textId="7B834AB6" w:rsidR="00DC0DF7" w:rsidRPr="00BA64FA" w:rsidRDefault="00DC0DF7" w:rsidP="00DC0DF7">
            <w:pPr>
              <w:keepNext/>
              <w:keepLines/>
              <w:spacing w:before="120" w:after="120"/>
              <w:jc w:val="center"/>
              <w:rPr>
                <w:color w:val="000000" w:themeColor="text1"/>
                <w:sz w:val="16"/>
                <w:szCs w:val="16"/>
              </w:rPr>
            </w:pPr>
            <w:r>
              <w:rPr>
                <w:color w:val="000000"/>
                <w:sz w:val="16"/>
                <w:szCs w:val="16"/>
              </w:rPr>
              <w:t xml:space="preserve">85535-84-8 und </w:t>
            </w:r>
            <w:proofErr w:type="spellStart"/>
            <w:r>
              <w:rPr>
                <w:color w:val="000000"/>
                <w:sz w:val="16"/>
                <w:szCs w:val="16"/>
              </w:rPr>
              <w:t>andere</w:t>
            </w:r>
            <w:proofErr w:type="spellEnd"/>
          </w:p>
        </w:tc>
        <w:tc>
          <w:tcPr>
            <w:tcW w:w="3959" w:type="dxa"/>
          </w:tcPr>
          <w:p w14:paraId="01C373CD" w14:textId="129EAF0D" w:rsidR="00DC0DF7" w:rsidRPr="00BA64FA" w:rsidRDefault="00DC0DF7" w:rsidP="00DC0DF7">
            <w:pPr>
              <w:pStyle w:val="sBullet"/>
              <w:numPr>
                <w:ilvl w:val="0"/>
                <w:numId w:val="0"/>
              </w:numPr>
              <w:spacing w:before="120" w:after="120"/>
              <w:contextualSpacing w:val="0"/>
            </w:pPr>
            <w:proofErr w:type="spellStart"/>
            <w:r>
              <w:t>Kurzkettige</w:t>
            </w:r>
            <w:proofErr w:type="spellEnd"/>
            <w:r>
              <w:t xml:space="preserve"> </w:t>
            </w:r>
            <w:proofErr w:type="spellStart"/>
            <w:r>
              <w:t>Chlorparaffine</w:t>
            </w:r>
            <w:proofErr w:type="spellEnd"/>
            <w:r>
              <w:t xml:space="preserve"> (SCCPs) </w:t>
            </w:r>
            <w:proofErr w:type="spellStart"/>
            <w:r>
              <w:t>dürfen</w:t>
            </w:r>
            <w:proofErr w:type="spellEnd"/>
            <w:r>
              <w:t xml:space="preserve"> </w:t>
            </w:r>
            <w:proofErr w:type="spellStart"/>
            <w:r>
              <w:t>nicht</w:t>
            </w:r>
            <w:proofErr w:type="spellEnd"/>
            <w:r>
              <w:t xml:space="preserve"> in </w:t>
            </w:r>
            <w:proofErr w:type="spellStart"/>
            <w:r>
              <w:t>Konzentrationen</w:t>
            </w:r>
            <w:proofErr w:type="spellEnd"/>
            <w:r>
              <w:t xml:space="preserve"> </w:t>
            </w:r>
            <w:proofErr w:type="spellStart"/>
            <w:r>
              <w:t>höher</w:t>
            </w:r>
            <w:proofErr w:type="spellEnd"/>
            <w:r>
              <w:t xml:space="preserve"> </w:t>
            </w:r>
            <w:proofErr w:type="spellStart"/>
            <w:r>
              <w:t>als</w:t>
            </w:r>
            <w:proofErr w:type="spellEnd"/>
            <w:r>
              <w:t xml:space="preserve"> 0,1 </w:t>
            </w:r>
            <w:proofErr w:type="spellStart"/>
            <w:r>
              <w:t>Gewichts</w:t>
            </w:r>
            <w:proofErr w:type="spellEnd"/>
            <w:r>
              <w:t xml:space="preserve">-% (1000 ppm) in </w:t>
            </w:r>
            <w:proofErr w:type="spellStart"/>
            <w:r>
              <w:t>homogenen</w:t>
            </w:r>
            <w:proofErr w:type="spellEnd"/>
            <w:r>
              <w:t xml:space="preserve"> </w:t>
            </w:r>
            <w:proofErr w:type="spellStart"/>
            <w:r>
              <w:t>Materialien</w:t>
            </w:r>
            <w:proofErr w:type="spellEnd"/>
            <w:r>
              <w:t xml:space="preserve"> </w:t>
            </w:r>
            <w:proofErr w:type="spellStart"/>
            <w:r>
              <w:t>enthalten</w:t>
            </w:r>
            <w:proofErr w:type="spellEnd"/>
            <w:r>
              <w:t xml:space="preserve"> sein. CAS-Nr. 85535-84-8 </w:t>
            </w:r>
            <w:proofErr w:type="spellStart"/>
            <w:r>
              <w:t>ist</w:t>
            </w:r>
            <w:proofErr w:type="spellEnd"/>
            <w:r>
              <w:t xml:space="preserve"> </w:t>
            </w:r>
            <w:proofErr w:type="spellStart"/>
            <w:r>
              <w:t>ebenfalls</w:t>
            </w:r>
            <w:proofErr w:type="spellEnd"/>
            <w:r>
              <w:t xml:space="preserve"> </w:t>
            </w:r>
            <w:proofErr w:type="spellStart"/>
            <w:r>
              <w:t>meldepflichtig</w:t>
            </w:r>
            <w:proofErr w:type="spellEnd"/>
            <w:r>
              <w:t xml:space="preserve"> </w:t>
            </w:r>
            <w:proofErr w:type="spellStart"/>
            <w:r>
              <w:t>nach</w:t>
            </w:r>
            <w:proofErr w:type="spellEnd"/>
            <w:r>
              <w:t xml:space="preserve"> REACH SVHC.</w:t>
            </w:r>
          </w:p>
        </w:tc>
        <w:tc>
          <w:tcPr>
            <w:tcW w:w="2425" w:type="dxa"/>
          </w:tcPr>
          <w:p w14:paraId="74679917" w14:textId="77777777" w:rsidR="00DC0DF7" w:rsidRDefault="00DC0DF7" w:rsidP="00DC0DF7">
            <w:pPr>
              <w:pStyle w:val="sBullet"/>
              <w:numPr>
                <w:ilvl w:val="0"/>
                <w:numId w:val="0"/>
              </w:numPr>
              <w:contextualSpacing w:val="0"/>
              <w:rPr>
                <w:szCs w:val="24"/>
              </w:rPr>
            </w:pPr>
            <w:r>
              <w:rPr>
                <w:szCs w:val="24"/>
              </w:rPr>
              <w:t xml:space="preserve">EG – </w:t>
            </w:r>
            <w:proofErr w:type="spellStart"/>
            <w:r>
              <w:rPr>
                <w:szCs w:val="24"/>
              </w:rPr>
              <w:t>Verordnung</w:t>
            </w:r>
            <w:proofErr w:type="spellEnd"/>
            <w:r>
              <w:rPr>
                <w:szCs w:val="24"/>
              </w:rPr>
              <w:t xml:space="preserve"> 850/2004/EG </w:t>
            </w:r>
            <w:proofErr w:type="spellStart"/>
            <w:r>
              <w:rPr>
                <w:szCs w:val="24"/>
              </w:rPr>
              <w:t>wie</w:t>
            </w:r>
            <w:proofErr w:type="spellEnd"/>
            <w:r>
              <w:rPr>
                <w:szCs w:val="24"/>
              </w:rPr>
              <w:t xml:space="preserve"> </w:t>
            </w:r>
            <w:proofErr w:type="spellStart"/>
            <w:r>
              <w:rPr>
                <w:szCs w:val="24"/>
              </w:rPr>
              <w:t>erweitert</w:t>
            </w:r>
            <w:proofErr w:type="spellEnd"/>
            <w:r>
              <w:rPr>
                <w:szCs w:val="24"/>
              </w:rPr>
              <w:t xml:space="preserve"> </w:t>
            </w:r>
            <w:proofErr w:type="spellStart"/>
            <w:r>
              <w:rPr>
                <w:szCs w:val="24"/>
              </w:rPr>
              <w:t>durch</w:t>
            </w:r>
            <w:proofErr w:type="spellEnd"/>
            <w:r>
              <w:rPr>
                <w:szCs w:val="24"/>
              </w:rPr>
              <w:t xml:space="preserve"> </w:t>
            </w:r>
            <w:proofErr w:type="spellStart"/>
            <w:r>
              <w:rPr>
                <w:szCs w:val="24"/>
              </w:rPr>
              <w:t>Verordnung</w:t>
            </w:r>
            <w:proofErr w:type="spellEnd"/>
            <w:r>
              <w:rPr>
                <w:szCs w:val="24"/>
              </w:rPr>
              <w:t xml:space="preserve"> EG 2015/2030</w:t>
            </w:r>
          </w:p>
          <w:p w14:paraId="456905C2" w14:textId="77777777" w:rsidR="00DC0DF7" w:rsidRPr="00AA3ADB" w:rsidRDefault="00DC0DF7" w:rsidP="00DC0DF7">
            <w:pPr>
              <w:pStyle w:val="sBullet"/>
              <w:numPr>
                <w:ilvl w:val="0"/>
                <w:numId w:val="0"/>
              </w:numPr>
              <w:contextualSpacing w:val="0"/>
              <w:rPr>
                <w:szCs w:val="24"/>
              </w:rPr>
            </w:pPr>
            <w:r>
              <w:rPr>
                <w:szCs w:val="24"/>
              </w:rPr>
              <w:t xml:space="preserve">EG – </w:t>
            </w:r>
            <w:proofErr w:type="spellStart"/>
            <w:r>
              <w:rPr>
                <w:szCs w:val="24"/>
              </w:rPr>
              <w:t>Verordnung</w:t>
            </w:r>
            <w:proofErr w:type="spellEnd"/>
            <w:r>
              <w:rPr>
                <w:szCs w:val="24"/>
              </w:rPr>
              <w:t xml:space="preserve"> 1907/2006/EG </w:t>
            </w:r>
            <w:proofErr w:type="spellStart"/>
            <w:r>
              <w:rPr>
                <w:szCs w:val="24"/>
              </w:rPr>
              <w:t>Anhang</w:t>
            </w:r>
            <w:proofErr w:type="spellEnd"/>
            <w:r>
              <w:rPr>
                <w:szCs w:val="24"/>
              </w:rPr>
              <w:t xml:space="preserve"> 11 und </w:t>
            </w:r>
            <w:proofErr w:type="spellStart"/>
            <w:r>
              <w:rPr>
                <w:szCs w:val="24"/>
              </w:rPr>
              <w:t>Ergänzungen</w:t>
            </w:r>
            <w:proofErr w:type="spellEnd"/>
          </w:p>
          <w:p w14:paraId="690ECDCC" w14:textId="77777777" w:rsidR="00DC0DF7" w:rsidRPr="00C175FC" w:rsidRDefault="00DC0DF7" w:rsidP="00DC0DF7">
            <w:pPr>
              <w:pStyle w:val="sBullet"/>
              <w:numPr>
                <w:ilvl w:val="0"/>
                <w:numId w:val="0"/>
              </w:numPr>
              <w:contextualSpacing w:val="0"/>
            </w:pPr>
            <w:r>
              <w:t xml:space="preserve">USA – 49 CFR 172.101, TSCA </w:t>
            </w:r>
            <w:proofErr w:type="spellStart"/>
            <w:r>
              <w:t>Aktionsplan</w:t>
            </w:r>
            <w:proofErr w:type="spellEnd"/>
          </w:p>
          <w:p w14:paraId="01C373D0" w14:textId="77FA01A5" w:rsidR="00DC0DF7" w:rsidRPr="0038743A" w:rsidRDefault="00DC0DF7" w:rsidP="00DC0DF7">
            <w:pPr>
              <w:pStyle w:val="sBullet"/>
              <w:numPr>
                <w:ilvl w:val="0"/>
                <w:numId w:val="0"/>
              </w:numPr>
              <w:spacing w:before="120" w:after="120"/>
              <w:contextualSpacing w:val="0"/>
            </w:pPr>
            <w:proofErr w:type="spellStart"/>
            <w:r>
              <w:t>Nordostatlantik</w:t>
            </w:r>
            <w:proofErr w:type="spellEnd"/>
            <w:r>
              <w:t xml:space="preserve"> – OSPAR</w:t>
            </w:r>
          </w:p>
        </w:tc>
      </w:tr>
      <w:tr w:rsidR="00DC0DF7" w:rsidRPr="00BA64FA" w14:paraId="114384B3"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69E9772B" w14:textId="4E8925FD" w:rsidR="00DC0DF7" w:rsidRDefault="00DC0DF7" w:rsidP="00DC0DF7">
            <w:pPr>
              <w:keepNext/>
              <w:keepLines/>
              <w:spacing w:before="120" w:after="120"/>
              <w:rPr>
                <w:color w:val="000000" w:themeColor="text1"/>
                <w:sz w:val="16"/>
                <w:szCs w:val="16"/>
              </w:rPr>
            </w:pPr>
            <w:proofErr w:type="spellStart"/>
            <w:r>
              <w:rPr>
                <w:rFonts w:cs="Times New Roman"/>
                <w:sz w:val="16"/>
                <w:szCs w:val="24"/>
              </w:rPr>
              <w:t>Besorgniserregende</w:t>
            </w:r>
            <w:proofErr w:type="spellEnd"/>
            <w:r>
              <w:rPr>
                <w:rFonts w:cs="Times New Roman"/>
                <w:sz w:val="16"/>
                <w:szCs w:val="24"/>
              </w:rPr>
              <w:t xml:space="preserve"> </w:t>
            </w:r>
            <w:proofErr w:type="spellStart"/>
            <w:r>
              <w:rPr>
                <w:rFonts w:cs="Times New Roman"/>
                <w:sz w:val="16"/>
                <w:szCs w:val="24"/>
              </w:rPr>
              <w:t>Stoffe</w:t>
            </w:r>
            <w:proofErr w:type="spellEnd"/>
            <w:r>
              <w:rPr>
                <w:rFonts w:cs="Times New Roman"/>
                <w:sz w:val="16"/>
                <w:szCs w:val="24"/>
              </w:rPr>
              <w:t xml:space="preserve"> (SVHC-</w:t>
            </w:r>
            <w:proofErr w:type="spellStart"/>
            <w:r>
              <w:rPr>
                <w:rFonts w:cs="Times New Roman"/>
                <w:sz w:val="16"/>
                <w:szCs w:val="24"/>
              </w:rPr>
              <w:t>Stoffe</w:t>
            </w:r>
            <w:proofErr w:type="spellEnd"/>
            <w:r>
              <w:rPr>
                <w:rFonts w:cs="Times New Roman"/>
                <w:sz w:val="16"/>
                <w:szCs w:val="24"/>
              </w:rPr>
              <w:t xml:space="preserve">) </w:t>
            </w:r>
          </w:p>
        </w:tc>
        <w:tc>
          <w:tcPr>
            <w:tcW w:w="1094" w:type="dxa"/>
          </w:tcPr>
          <w:p w14:paraId="3C8DA15C" w14:textId="0D3A7C84" w:rsidR="00DC0DF7" w:rsidRDefault="00DC0DF7" w:rsidP="00DC0DF7">
            <w:pPr>
              <w:keepNext/>
              <w:keepLines/>
              <w:spacing w:before="120" w:after="120"/>
              <w:jc w:val="center"/>
              <w:rPr>
                <w:color w:val="000000" w:themeColor="text1"/>
                <w:sz w:val="16"/>
                <w:szCs w:val="16"/>
              </w:rPr>
            </w:pPr>
            <w:proofErr w:type="spellStart"/>
            <w:r>
              <w:rPr>
                <w:rFonts w:cs="Times New Roman"/>
                <w:sz w:val="16"/>
                <w:szCs w:val="24"/>
              </w:rPr>
              <w:t>Siehe</w:t>
            </w:r>
            <w:proofErr w:type="spellEnd"/>
            <w:r>
              <w:rPr>
                <w:rFonts w:cs="Times New Roman"/>
                <w:sz w:val="16"/>
                <w:szCs w:val="24"/>
              </w:rPr>
              <w:t xml:space="preserve"> </w:t>
            </w:r>
            <w:proofErr w:type="spellStart"/>
            <w:r>
              <w:rPr>
                <w:rFonts w:cs="Times New Roman"/>
                <w:sz w:val="16"/>
                <w:szCs w:val="24"/>
              </w:rPr>
              <w:t>Referenzen</w:t>
            </w:r>
            <w:proofErr w:type="spellEnd"/>
          </w:p>
        </w:tc>
        <w:tc>
          <w:tcPr>
            <w:tcW w:w="3959" w:type="dxa"/>
          </w:tcPr>
          <w:p w14:paraId="1B95C429" w14:textId="77777777" w:rsidR="00DC0DF7" w:rsidRPr="00C175FC" w:rsidRDefault="00DC0DF7" w:rsidP="00DC0DF7">
            <w:pPr>
              <w:pStyle w:val="sBullet"/>
              <w:numPr>
                <w:ilvl w:val="0"/>
                <w:numId w:val="0"/>
              </w:numPr>
              <w:spacing w:before="120" w:after="120"/>
              <w:contextualSpacing w:val="0"/>
            </w:pPr>
            <w:proofErr w:type="spellStart"/>
            <w:r>
              <w:t>Erfordert</w:t>
            </w:r>
            <w:proofErr w:type="spellEnd"/>
            <w:r>
              <w:t xml:space="preserve"> </w:t>
            </w:r>
            <w:proofErr w:type="spellStart"/>
            <w:r>
              <w:t>Meldung</w:t>
            </w:r>
            <w:proofErr w:type="spellEnd"/>
            <w:r>
              <w:t xml:space="preserve"> </w:t>
            </w:r>
            <w:proofErr w:type="spellStart"/>
            <w:r>
              <w:t>wenn</w:t>
            </w:r>
            <w:proofErr w:type="spellEnd"/>
            <w:r>
              <w:t xml:space="preserve"> </w:t>
            </w:r>
            <w:proofErr w:type="spellStart"/>
            <w:r>
              <w:t>besonders</w:t>
            </w:r>
            <w:proofErr w:type="spellEnd"/>
            <w:r>
              <w:t xml:space="preserve"> </w:t>
            </w:r>
            <w:proofErr w:type="spellStart"/>
            <w:r>
              <w:t>besorgniserregende</w:t>
            </w:r>
            <w:proofErr w:type="spellEnd"/>
            <w:r>
              <w:t xml:space="preserve"> REACH </w:t>
            </w:r>
            <w:proofErr w:type="spellStart"/>
            <w:r>
              <w:t>Kandidatenstoff</w:t>
            </w:r>
            <w:proofErr w:type="spellEnd"/>
            <w:r>
              <w:t xml:space="preserve"> (SVHC-</w:t>
            </w:r>
            <w:proofErr w:type="spellStart"/>
            <w:r>
              <w:t>Stoffe</w:t>
            </w:r>
            <w:proofErr w:type="spellEnd"/>
            <w:r>
              <w:t xml:space="preserve">) </w:t>
            </w:r>
            <w:proofErr w:type="spellStart"/>
            <w:r>
              <w:t>vorliegen</w:t>
            </w:r>
            <w:proofErr w:type="spellEnd"/>
            <w:r>
              <w:t xml:space="preserve"> und </w:t>
            </w:r>
            <w:proofErr w:type="spellStart"/>
            <w:r>
              <w:t>Informationen</w:t>
            </w:r>
            <w:proofErr w:type="spellEnd"/>
            <w:r>
              <w:t xml:space="preserve"> </w:t>
            </w:r>
            <w:proofErr w:type="spellStart"/>
            <w:r>
              <w:t>zum</w:t>
            </w:r>
            <w:proofErr w:type="spellEnd"/>
            <w:r>
              <w:t xml:space="preserve"> </w:t>
            </w:r>
            <w:proofErr w:type="spellStart"/>
            <w:r>
              <w:t>sicheren</w:t>
            </w:r>
            <w:proofErr w:type="spellEnd"/>
            <w:r>
              <w:t xml:space="preserve"> </w:t>
            </w:r>
            <w:proofErr w:type="spellStart"/>
            <w:r>
              <w:t>Umgang</w:t>
            </w:r>
            <w:proofErr w:type="spellEnd"/>
            <w:r>
              <w:t xml:space="preserve">, falls </w:t>
            </w:r>
            <w:proofErr w:type="spellStart"/>
            <w:r>
              <w:t>diese</w:t>
            </w:r>
            <w:proofErr w:type="spellEnd"/>
            <w:r>
              <w:t xml:space="preserve"> </w:t>
            </w:r>
            <w:proofErr w:type="spellStart"/>
            <w:r>
              <w:t>Grenzwerte</w:t>
            </w:r>
            <w:proofErr w:type="spellEnd"/>
            <w:r>
              <w:t xml:space="preserve"> </w:t>
            </w:r>
            <w:proofErr w:type="spellStart"/>
            <w:r>
              <w:t>für</w:t>
            </w:r>
            <w:proofErr w:type="spellEnd"/>
            <w:r>
              <w:t xml:space="preserve"> den </w:t>
            </w:r>
            <w:proofErr w:type="spellStart"/>
            <w:r>
              <w:t>Artikel</w:t>
            </w:r>
            <w:proofErr w:type="spellEnd"/>
            <w:r>
              <w:t xml:space="preserve"> (</w:t>
            </w:r>
            <w:proofErr w:type="spellStart"/>
            <w:r>
              <w:t>Teile</w:t>
            </w:r>
            <w:proofErr w:type="spellEnd"/>
            <w:r>
              <w:t xml:space="preserve">, </w:t>
            </w:r>
            <w:proofErr w:type="spellStart"/>
            <w:r>
              <w:t>Komponenten</w:t>
            </w:r>
            <w:proofErr w:type="spellEnd"/>
            <w:r>
              <w:t xml:space="preserve">, </w:t>
            </w:r>
            <w:proofErr w:type="spellStart"/>
            <w:r>
              <w:t>Produkte</w:t>
            </w:r>
            <w:proofErr w:type="spellEnd"/>
            <w:r>
              <w:t xml:space="preserve">, </w:t>
            </w:r>
            <w:proofErr w:type="spellStart"/>
            <w:r>
              <w:t>Verpackungen</w:t>
            </w:r>
            <w:proofErr w:type="spellEnd"/>
            <w:r>
              <w:t xml:space="preserve"> etc.) </w:t>
            </w:r>
            <w:proofErr w:type="spellStart"/>
            <w:r>
              <w:t>überschreiten</w:t>
            </w:r>
            <w:proofErr w:type="spellEnd"/>
            <w:r>
              <w:t xml:space="preserve">. Dies </w:t>
            </w:r>
            <w:proofErr w:type="spellStart"/>
            <w:r>
              <w:t>beinhaltet</w:t>
            </w:r>
            <w:proofErr w:type="spellEnd"/>
            <w:r>
              <w:t xml:space="preserve"> die </w:t>
            </w:r>
            <w:proofErr w:type="spellStart"/>
            <w:r>
              <w:t>Erstellung</w:t>
            </w:r>
            <w:proofErr w:type="spellEnd"/>
            <w:r>
              <w:t xml:space="preserve"> von </w:t>
            </w:r>
            <w:proofErr w:type="spellStart"/>
            <w:r>
              <w:t>Berichten</w:t>
            </w:r>
            <w:proofErr w:type="spellEnd"/>
            <w:r>
              <w:t xml:space="preserve"> </w:t>
            </w:r>
            <w:proofErr w:type="spellStart"/>
            <w:r>
              <w:t>zu</w:t>
            </w:r>
            <w:proofErr w:type="spellEnd"/>
            <w:r>
              <w:t xml:space="preserve"> </w:t>
            </w:r>
            <w:proofErr w:type="spellStart"/>
            <w:r>
              <w:t>Erzeugnissen</w:t>
            </w:r>
            <w:proofErr w:type="spellEnd"/>
            <w:r>
              <w:t xml:space="preserve">, die </w:t>
            </w:r>
            <w:proofErr w:type="spellStart"/>
            <w:r>
              <w:t>für</w:t>
            </w:r>
            <w:proofErr w:type="spellEnd"/>
            <w:r>
              <w:t xml:space="preserve"> die </w:t>
            </w:r>
            <w:proofErr w:type="spellStart"/>
            <w:r>
              <w:t>Herstellung</w:t>
            </w:r>
            <w:proofErr w:type="spellEnd"/>
            <w:r>
              <w:t xml:space="preserve"> von </w:t>
            </w:r>
            <w:proofErr w:type="spellStart"/>
            <w:r>
              <w:t>aufwändigeren</w:t>
            </w:r>
            <w:proofErr w:type="spellEnd"/>
            <w:r>
              <w:t xml:space="preserve"> </w:t>
            </w:r>
            <w:proofErr w:type="spellStart"/>
            <w:r>
              <w:t>Erzeugnissen</w:t>
            </w:r>
            <w:proofErr w:type="spellEnd"/>
            <w:r>
              <w:t xml:space="preserve"> </w:t>
            </w:r>
            <w:proofErr w:type="spellStart"/>
            <w:r>
              <w:t>verwendet</w:t>
            </w:r>
            <w:proofErr w:type="spellEnd"/>
            <w:r>
              <w:t xml:space="preserve"> </w:t>
            </w:r>
            <w:proofErr w:type="spellStart"/>
            <w:r>
              <w:t>werden</w:t>
            </w:r>
            <w:proofErr w:type="spellEnd"/>
            <w:r>
              <w:t xml:space="preserve">. Um </w:t>
            </w:r>
            <w:proofErr w:type="spellStart"/>
            <w:r>
              <w:t>diese</w:t>
            </w:r>
            <w:proofErr w:type="spellEnd"/>
            <w:r>
              <w:t xml:space="preserve"> </w:t>
            </w:r>
            <w:proofErr w:type="spellStart"/>
            <w:r>
              <w:t>Meldepflicht</w:t>
            </w:r>
            <w:proofErr w:type="spellEnd"/>
            <w:r>
              <w:t xml:space="preserve"> </w:t>
            </w:r>
            <w:proofErr w:type="spellStart"/>
            <w:r>
              <w:t>zu</w:t>
            </w:r>
            <w:proofErr w:type="spellEnd"/>
            <w:r>
              <w:t xml:space="preserve"> </w:t>
            </w:r>
            <w:proofErr w:type="spellStart"/>
            <w:r>
              <w:t>erfüllen</w:t>
            </w:r>
            <w:proofErr w:type="spellEnd"/>
            <w:r>
              <w:t xml:space="preserve"> </w:t>
            </w:r>
            <w:proofErr w:type="spellStart"/>
            <w:r>
              <w:t>müssen</w:t>
            </w:r>
            <w:proofErr w:type="spellEnd"/>
            <w:r>
              <w:t xml:space="preserve"> </w:t>
            </w:r>
            <w:proofErr w:type="spellStart"/>
            <w:r>
              <w:t>Lieferanten</w:t>
            </w:r>
            <w:proofErr w:type="spellEnd"/>
            <w:r>
              <w:t xml:space="preserve"> von </w:t>
            </w:r>
            <w:proofErr w:type="spellStart"/>
            <w:r>
              <w:t>Teilen</w:t>
            </w:r>
            <w:proofErr w:type="spellEnd"/>
            <w:r>
              <w:t xml:space="preserve"> und </w:t>
            </w:r>
            <w:proofErr w:type="spellStart"/>
            <w:r>
              <w:t>Werkstoffen</w:t>
            </w:r>
            <w:proofErr w:type="spellEnd"/>
            <w:r>
              <w:t xml:space="preserve">, die in X-Rite </w:t>
            </w:r>
            <w:proofErr w:type="spellStart"/>
            <w:r>
              <w:t>Produkten</w:t>
            </w:r>
            <w:proofErr w:type="spellEnd"/>
            <w:r>
              <w:t xml:space="preserve"> und </w:t>
            </w:r>
            <w:proofErr w:type="spellStart"/>
            <w:r>
              <w:t>Verpackungen</w:t>
            </w:r>
            <w:proofErr w:type="spellEnd"/>
            <w:r>
              <w:t xml:space="preserve"> </w:t>
            </w:r>
            <w:proofErr w:type="spellStart"/>
            <w:r>
              <w:t>verwendet</w:t>
            </w:r>
            <w:proofErr w:type="spellEnd"/>
            <w:r>
              <w:t xml:space="preserve"> </w:t>
            </w:r>
            <w:proofErr w:type="spellStart"/>
            <w:r>
              <w:t>werden</w:t>
            </w:r>
            <w:proofErr w:type="spellEnd"/>
            <w:r>
              <w:t xml:space="preserve">, </w:t>
            </w:r>
            <w:proofErr w:type="spellStart"/>
            <w:r>
              <w:t>eine</w:t>
            </w:r>
            <w:proofErr w:type="spellEnd"/>
            <w:r>
              <w:t xml:space="preserve"> </w:t>
            </w:r>
            <w:proofErr w:type="spellStart"/>
            <w:r>
              <w:t>Überschreitung</w:t>
            </w:r>
            <w:proofErr w:type="spellEnd"/>
            <w:r>
              <w:t xml:space="preserve"> der </w:t>
            </w:r>
            <w:proofErr w:type="spellStart"/>
            <w:r>
              <w:t>Grenzwerte</w:t>
            </w:r>
            <w:proofErr w:type="spellEnd"/>
            <w:r>
              <w:t xml:space="preserve"> von </w:t>
            </w:r>
            <w:proofErr w:type="spellStart"/>
            <w:r>
              <w:t>besonders</w:t>
            </w:r>
            <w:proofErr w:type="spellEnd"/>
            <w:r>
              <w:t xml:space="preserve"> </w:t>
            </w:r>
            <w:proofErr w:type="spellStart"/>
            <w:r>
              <w:t>besorgniserregenden</w:t>
            </w:r>
            <w:proofErr w:type="spellEnd"/>
            <w:r>
              <w:t xml:space="preserve"> </w:t>
            </w:r>
            <w:proofErr w:type="spellStart"/>
            <w:r>
              <w:t>Kandidatenstoffen</w:t>
            </w:r>
            <w:proofErr w:type="spellEnd"/>
            <w:r>
              <w:t xml:space="preserve"> (SVHC-</w:t>
            </w:r>
            <w:proofErr w:type="spellStart"/>
            <w:r>
              <w:t>Stoffen</w:t>
            </w:r>
            <w:proofErr w:type="spellEnd"/>
            <w:r>
              <w:t xml:space="preserve">) in den </w:t>
            </w:r>
            <w:proofErr w:type="spellStart"/>
            <w:r>
              <w:t>gelieferten</w:t>
            </w:r>
            <w:proofErr w:type="spellEnd"/>
            <w:r>
              <w:t xml:space="preserve"> </w:t>
            </w:r>
            <w:proofErr w:type="spellStart"/>
            <w:r>
              <w:t>Teilen</w:t>
            </w:r>
            <w:proofErr w:type="spellEnd"/>
            <w:r>
              <w:t xml:space="preserve"> </w:t>
            </w:r>
            <w:proofErr w:type="spellStart"/>
            <w:r>
              <w:t>angeben</w:t>
            </w:r>
            <w:proofErr w:type="spellEnd"/>
            <w:r>
              <w:t xml:space="preserve">. </w:t>
            </w:r>
            <w:proofErr w:type="spellStart"/>
            <w:r>
              <w:t>Informationen</w:t>
            </w:r>
            <w:proofErr w:type="spellEnd"/>
            <w:r>
              <w:t xml:space="preserve"> </w:t>
            </w:r>
            <w:proofErr w:type="spellStart"/>
            <w:r>
              <w:t>zum</w:t>
            </w:r>
            <w:proofErr w:type="spellEnd"/>
            <w:r>
              <w:t xml:space="preserve"> </w:t>
            </w:r>
            <w:proofErr w:type="spellStart"/>
            <w:r>
              <w:t>sicheren</w:t>
            </w:r>
            <w:proofErr w:type="spellEnd"/>
            <w:r>
              <w:t xml:space="preserve"> </w:t>
            </w:r>
            <w:proofErr w:type="spellStart"/>
            <w:r>
              <w:t>Umgang</w:t>
            </w:r>
            <w:proofErr w:type="spellEnd"/>
            <w:r>
              <w:t xml:space="preserve"> </w:t>
            </w:r>
            <w:proofErr w:type="spellStart"/>
            <w:r>
              <w:t>mit</w:t>
            </w:r>
            <w:proofErr w:type="spellEnd"/>
            <w:r>
              <w:t xml:space="preserve"> SVHC-</w:t>
            </w:r>
            <w:proofErr w:type="spellStart"/>
            <w:r>
              <w:t>Kandidatenstoffen</w:t>
            </w:r>
            <w:proofErr w:type="spellEnd"/>
            <w:r>
              <w:t xml:space="preserve"> </w:t>
            </w:r>
            <w:proofErr w:type="spellStart"/>
            <w:r>
              <w:t>werden</w:t>
            </w:r>
            <w:proofErr w:type="spellEnd"/>
            <w:r>
              <w:t xml:space="preserve"> </w:t>
            </w:r>
            <w:proofErr w:type="spellStart"/>
            <w:r>
              <w:t>gegebenenfalls</w:t>
            </w:r>
            <w:proofErr w:type="spellEnd"/>
            <w:r>
              <w:t xml:space="preserve"> </w:t>
            </w:r>
            <w:proofErr w:type="spellStart"/>
            <w:r>
              <w:t>auch</w:t>
            </w:r>
            <w:proofErr w:type="spellEnd"/>
            <w:r>
              <w:t xml:space="preserve"> von X-Rite </w:t>
            </w:r>
            <w:proofErr w:type="spellStart"/>
            <w:r>
              <w:t>angefordert</w:t>
            </w:r>
            <w:proofErr w:type="spellEnd"/>
            <w:r>
              <w:t xml:space="preserve">, um </w:t>
            </w:r>
            <w:proofErr w:type="spellStart"/>
            <w:r>
              <w:t>diese</w:t>
            </w:r>
            <w:proofErr w:type="spellEnd"/>
            <w:r>
              <w:t xml:space="preserve"> </w:t>
            </w:r>
            <w:proofErr w:type="spellStart"/>
            <w:r>
              <w:t>Verpflichtungen</w:t>
            </w:r>
            <w:proofErr w:type="spellEnd"/>
            <w:r>
              <w:t xml:space="preserve"> </w:t>
            </w:r>
            <w:proofErr w:type="spellStart"/>
            <w:r>
              <w:t>zu</w:t>
            </w:r>
            <w:proofErr w:type="spellEnd"/>
            <w:r>
              <w:t xml:space="preserve"> </w:t>
            </w:r>
            <w:proofErr w:type="spellStart"/>
            <w:r>
              <w:t>erfüllen</w:t>
            </w:r>
            <w:proofErr w:type="spellEnd"/>
            <w:r>
              <w:t>.</w:t>
            </w:r>
          </w:p>
          <w:p w14:paraId="5B932CBD" w14:textId="77777777" w:rsidR="00DC0DF7" w:rsidRPr="00477E51" w:rsidRDefault="00DC0DF7" w:rsidP="00DC0DF7">
            <w:pPr>
              <w:spacing w:line="280" w:lineRule="auto"/>
              <w:rPr>
                <w:rFonts w:cs="Times New Roman"/>
                <w:sz w:val="16"/>
                <w:szCs w:val="16"/>
              </w:rPr>
            </w:pPr>
            <w:proofErr w:type="spellStart"/>
            <w:r>
              <w:rPr>
                <w:rFonts w:cs="Times New Roman"/>
                <w:sz w:val="16"/>
                <w:szCs w:val="16"/>
              </w:rPr>
              <w:t>Hinweis</w:t>
            </w:r>
            <w:proofErr w:type="spellEnd"/>
            <w:r>
              <w:rPr>
                <w:rFonts w:cs="Times New Roman"/>
                <w:sz w:val="16"/>
                <w:szCs w:val="16"/>
              </w:rPr>
              <w:t>:</w:t>
            </w:r>
          </w:p>
          <w:p w14:paraId="38283251" w14:textId="77777777" w:rsidR="00DC0DF7" w:rsidRPr="004E46E3" w:rsidRDefault="00DC0DF7" w:rsidP="00C5606C">
            <w:pPr>
              <w:pStyle w:val="ListParagraph"/>
              <w:numPr>
                <w:ilvl w:val="0"/>
                <w:numId w:val="6"/>
              </w:numPr>
              <w:ind w:left="242" w:hanging="242"/>
              <w:rPr>
                <w:rFonts w:cs="Times New Roman"/>
                <w:sz w:val="16"/>
                <w:szCs w:val="16"/>
                <w:lang w:val="de-DE"/>
              </w:rPr>
            </w:pPr>
            <w:r w:rsidRPr="004E46E3">
              <w:rPr>
                <w:rFonts w:cs="Times New Roman"/>
                <w:sz w:val="16"/>
                <w:szCs w:val="16"/>
                <w:lang w:val="de-DE"/>
              </w:rPr>
              <w:t>Standardmeldepflicht bei 0,1 Gewichts-% für die einzelnen aufgeführten besonders besorgniserregenden Kandidatenstoffen.</w:t>
            </w:r>
          </w:p>
          <w:p w14:paraId="791F173A" w14:textId="77777777" w:rsidR="00DC0DF7" w:rsidRPr="004E46E3" w:rsidRDefault="00DC0DF7" w:rsidP="00C5606C">
            <w:pPr>
              <w:pStyle w:val="ListParagraph"/>
              <w:numPr>
                <w:ilvl w:val="0"/>
                <w:numId w:val="6"/>
              </w:numPr>
              <w:ind w:left="242" w:hanging="242"/>
              <w:rPr>
                <w:rFonts w:cs="Times New Roman"/>
                <w:sz w:val="16"/>
                <w:szCs w:val="16"/>
                <w:lang w:val="de-DE"/>
              </w:rPr>
            </w:pPr>
            <w:r w:rsidRPr="004E46E3">
              <w:rPr>
                <w:rFonts w:cs="Times New Roman"/>
                <w:sz w:val="16"/>
                <w:szCs w:val="16"/>
                <w:lang w:val="de-DE"/>
              </w:rPr>
              <w:t>Für einige SVHC-Kandidatenstoffe besteht ein EG-Ablauftermin. Dies ist das Datum, an dem die Nutzung dieses Stoffes in der EU eingeschränkt wird (siehe REACH Anhang XIV), es sei denn dieser ist von der EG zugelassen oder ausgenommen. Die Stoffe sollten dementsprechend in der EG nicht mehr beschaffen oder verwendet werden. Teile und Werkstoffe, die besonders besorgniserregende Kandidatenstoffe (SVHC-Stoffe) mit Ablaufterminen enthalten, und die in Produkten die in die EG importiert werden sollen, verwendet werden müssen auch auf SVHC-Stoffe geprüft werden, da diese eventuell in der Zukunft den Import untersagen.</w:t>
            </w:r>
          </w:p>
          <w:p w14:paraId="2074201D" w14:textId="38CB090D" w:rsidR="00DC0DF7" w:rsidRPr="0099051F" w:rsidRDefault="00DC0DF7" w:rsidP="00C5606C">
            <w:pPr>
              <w:pStyle w:val="ListParagraph"/>
              <w:numPr>
                <w:ilvl w:val="0"/>
                <w:numId w:val="6"/>
              </w:numPr>
              <w:spacing w:after="120"/>
              <w:ind w:left="245" w:hanging="245"/>
              <w:rPr>
                <w:color w:val="000000" w:themeColor="text1"/>
                <w:sz w:val="16"/>
                <w:szCs w:val="16"/>
              </w:rPr>
            </w:pPr>
            <w:r w:rsidRPr="004E46E3">
              <w:rPr>
                <w:rFonts w:cs="Times New Roman"/>
                <w:sz w:val="16"/>
                <w:szCs w:val="16"/>
                <w:lang w:val="de-DE"/>
              </w:rPr>
              <w:t xml:space="preserve">Die REACH SVHC-Liste wird normalerweise alle 6 Monate (Dezember und Juni) von der europäischen Chemikalienagentur (ECHA) aktualisiert und sollte entsprechen auf Änderungen geprüft werden. URL für die neueste SVHC-Liste: </w:t>
            </w:r>
            <w:r w:rsidR="0093177E">
              <w:fldChar w:fldCharType="begin"/>
            </w:r>
            <w:r w:rsidR="0093177E">
              <w:instrText xml:space="preserve"> HYPERLINK "http://echa.europa.eu/web/guest/candidate-list-table" </w:instrText>
            </w:r>
            <w:r w:rsidR="0093177E">
              <w:fldChar w:fldCharType="separate"/>
            </w:r>
            <w:r w:rsidRPr="00F6513E">
              <w:rPr>
                <w:rStyle w:val="Hyperlink"/>
                <w:sz w:val="16"/>
                <w:szCs w:val="16"/>
              </w:rPr>
              <w:t>http://echa.europa.eu/web/guest/candidate-list-table</w:t>
            </w:r>
            <w:r w:rsidR="0093177E">
              <w:rPr>
                <w:rStyle w:val="Hyperlink"/>
                <w:sz w:val="16"/>
                <w:szCs w:val="16"/>
              </w:rPr>
              <w:fldChar w:fldCharType="end"/>
            </w:r>
            <w:r>
              <w:rPr>
                <w:rStyle w:val="Hyperlink"/>
                <w:sz w:val="16"/>
                <w:szCs w:val="16"/>
              </w:rPr>
              <w:t xml:space="preserve"> </w:t>
            </w:r>
          </w:p>
        </w:tc>
        <w:tc>
          <w:tcPr>
            <w:tcW w:w="2425" w:type="dxa"/>
          </w:tcPr>
          <w:p w14:paraId="2200BC46" w14:textId="1E204BCF" w:rsidR="00DC0DF7" w:rsidRDefault="00654B0B" w:rsidP="00A37697">
            <w:pPr>
              <w:pStyle w:val="sBullet"/>
              <w:numPr>
                <w:ilvl w:val="0"/>
                <w:numId w:val="0"/>
              </w:numPr>
              <w:contextualSpacing w:val="0"/>
            </w:pPr>
            <w:r>
              <w:t xml:space="preserve">EG – </w:t>
            </w:r>
            <w:proofErr w:type="spellStart"/>
            <w:r>
              <w:t>Verordnung</w:t>
            </w:r>
            <w:proofErr w:type="spellEnd"/>
            <w:r>
              <w:t xml:space="preserve"> 1907/2006/EG und </w:t>
            </w:r>
            <w:proofErr w:type="spellStart"/>
            <w:r>
              <w:t>Ergänzungen</w:t>
            </w:r>
            <w:proofErr w:type="spellEnd"/>
            <w:r>
              <w:t xml:space="preserve"> </w:t>
            </w:r>
          </w:p>
        </w:tc>
      </w:tr>
      <w:tr w:rsidR="00C029D2" w:rsidRPr="00BA64FA" w14:paraId="664DABBD" w14:textId="77777777" w:rsidTr="00A37697">
        <w:tblPrEx>
          <w:jc w:val="center"/>
          <w:tblInd w:w="0" w:type="dxa"/>
          <w:tblCellMar>
            <w:left w:w="115" w:type="dxa"/>
            <w:right w:w="115" w:type="dxa"/>
          </w:tblCellMar>
        </w:tblPrEx>
        <w:trPr>
          <w:gridAfter w:val="1"/>
          <w:wAfter w:w="7" w:type="dxa"/>
          <w:cantSplit/>
          <w:jc w:val="center"/>
        </w:trPr>
        <w:tc>
          <w:tcPr>
            <w:tcW w:w="2064" w:type="dxa"/>
            <w:gridSpan w:val="2"/>
          </w:tcPr>
          <w:p w14:paraId="2A1DD523" w14:textId="074A07ED" w:rsidR="00C029D2" w:rsidRPr="00BA64FA" w:rsidRDefault="00C029D2" w:rsidP="00C029D2">
            <w:pPr>
              <w:keepNext/>
              <w:keepLines/>
              <w:spacing w:before="120" w:after="120"/>
              <w:rPr>
                <w:color w:val="000000" w:themeColor="text1"/>
                <w:sz w:val="16"/>
                <w:szCs w:val="16"/>
              </w:rPr>
            </w:pPr>
            <w:proofErr w:type="spellStart"/>
            <w:r>
              <w:rPr>
                <w:color w:val="000000"/>
                <w:sz w:val="16"/>
                <w:szCs w:val="16"/>
              </w:rPr>
              <w:t>Textilien</w:t>
            </w:r>
            <w:proofErr w:type="spellEnd"/>
          </w:p>
        </w:tc>
        <w:tc>
          <w:tcPr>
            <w:tcW w:w="1094" w:type="dxa"/>
          </w:tcPr>
          <w:p w14:paraId="55866DDD" w14:textId="3B7915E4" w:rsidR="00C029D2" w:rsidRPr="00BA64FA" w:rsidRDefault="00C029D2" w:rsidP="00C029D2">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2131A26F" w14:textId="3814BAE8" w:rsidR="00C029D2" w:rsidRPr="00BA64FA" w:rsidRDefault="00C029D2" w:rsidP="00C029D2">
            <w:pPr>
              <w:pStyle w:val="sBullet"/>
              <w:numPr>
                <w:ilvl w:val="0"/>
                <w:numId w:val="0"/>
              </w:numPr>
              <w:spacing w:before="120" w:after="120"/>
              <w:contextualSpacing w:val="0"/>
            </w:pPr>
            <w:r>
              <w:t xml:space="preserve">Die </w:t>
            </w:r>
            <w:proofErr w:type="spellStart"/>
            <w:r>
              <w:t>gelieferten</w:t>
            </w:r>
            <w:proofErr w:type="spellEnd"/>
            <w:r>
              <w:t xml:space="preserve"> </w:t>
            </w:r>
            <w:proofErr w:type="spellStart"/>
            <w:r>
              <w:t>Textilien</w:t>
            </w:r>
            <w:proofErr w:type="spellEnd"/>
            <w:r>
              <w:t xml:space="preserve"> </w:t>
            </w:r>
            <w:proofErr w:type="spellStart"/>
            <w:r>
              <w:t>müssen</w:t>
            </w:r>
            <w:proofErr w:type="spellEnd"/>
            <w:r>
              <w:t xml:space="preserve"> in </w:t>
            </w:r>
            <w:proofErr w:type="spellStart"/>
            <w:r>
              <w:t>Übereinstimmung</w:t>
            </w:r>
            <w:proofErr w:type="spellEnd"/>
            <w:r>
              <w:t xml:space="preserve"> </w:t>
            </w:r>
            <w:proofErr w:type="spellStart"/>
            <w:r>
              <w:t>mit</w:t>
            </w:r>
            <w:proofErr w:type="spellEnd"/>
            <w:r>
              <w:t xml:space="preserve"> der </w:t>
            </w:r>
            <w:proofErr w:type="spellStart"/>
            <w:r>
              <w:t>Produktzusammen</w:t>
            </w:r>
            <w:r>
              <w:softHyphen/>
              <w:t>setzung</w:t>
            </w:r>
            <w:proofErr w:type="spellEnd"/>
            <w:r>
              <w:t xml:space="preserve"> und den </w:t>
            </w:r>
            <w:proofErr w:type="spellStart"/>
            <w:r>
              <w:t>referenzierten</w:t>
            </w:r>
            <w:proofErr w:type="spellEnd"/>
            <w:r>
              <w:t xml:space="preserve"> </w:t>
            </w:r>
            <w:proofErr w:type="spellStart"/>
            <w:r>
              <w:t>Richtlinien</w:t>
            </w:r>
            <w:proofErr w:type="spellEnd"/>
            <w:r>
              <w:t xml:space="preserve"> </w:t>
            </w:r>
            <w:proofErr w:type="spellStart"/>
            <w:r>
              <w:t>bezeichnet</w:t>
            </w:r>
            <w:proofErr w:type="spellEnd"/>
            <w:r>
              <w:t xml:space="preserve">, </w:t>
            </w:r>
            <w:proofErr w:type="spellStart"/>
            <w:r>
              <w:t>gekennzeichnet</w:t>
            </w:r>
            <w:proofErr w:type="spellEnd"/>
            <w:r>
              <w:t xml:space="preserve"> </w:t>
            </w:r>
            <w:proofErr w:type="spellStart"/>
            <w:r>
              <w:t>oder</w:t>
            </w:r>
            <w:proofErr w:type="spellEnd"/>
            <w:r>
              <w:t xml:space="preserve"> </w:t>
            </w:r>
            <w:proofErr w:type="spellStart"/>
            <w:r>
              <w:t>anderweitig</w:t>
            </w:r>
            <w:proofErr w:type="spellEnd"/>
            <w:r>
              <w:t xml:space="preserve"> </w:t>
            </w:r>
            <w:proofErr w:type="spellStart"/>
            <w:r>
              <w:t>markiert</w:t>
            </w:r>
            <w:proofErr w:type="spellEnd"/>
            <w:r>
              <w:t xml:space="preserve"> </w:t>
            </w:r>
            <w:proofErr w:type="spellStart"/>
            <w:r>
              <w:t>werden</w:t>
            </w:r>
            <w:proofErr w:type="spellEnd"/>
            <w:r>
              <w:t>.</w:t>
            </w:r>
          </w:p>
        </w:tc>
        <w:tc>
          <w:tcPr>
            <w:tcW w:w="2425" w:type="dxa"/>
          </w:tcPr>
          <w:p w14:paraId="08314C6D" w14:textId="252B2C50" w:rsidR="00C029D2" w:rsidRPr="00BA64FA" w:rsidRDefault="00C029D2" w:rsidP="00C029D2">
            <w:pPr>
              <w:pStyle w:val="sBullet"/>
              <w:numPr>
                <w:ilvl w:val="0"/>
                <w:numId w:val="0"/>
              </w:numPr>
              <w:spacing w:before="120" w:after="120"/>
              <w:contextualSpacing w:val="0"/>
            </w:pPr>
            <w:r>
              <w:t xml:space="preserve">EG – </w:t>
            </w:r>
            <w:proofErr w:type="spellStart"/>
            <w:r>
              <w:t>Verordnung</w:t>
            </w:r>
            <w:proofErr w:type="spellEnd"/>
            <w:r>
              <w:t xml:space="preserve"> 1007/2011/EG und </w:t>
            </w:r>
            <w:proofErr w:type="spellStart"/>
            <w:r>
              <w:t>Ergänzungen</w:t>
            </w:r>
            <w:proofErr w:type="spellEnd"/>
          </w:p>
        </w:tc>
      </w:tr>
      <w:tr w:rsidR="00C029D2" w:rsidRPr="00BA64FA" w14:paraId="01C373D7" w14:textId="77777777" w:rsidTr="00A37697">
        <w:trPr>
          <w:gridBefore w:val="1"/>
          <w:wBefore w:w="9" w:type="dxa"/>
          <w:cantSplit/>
        </w:trPr>
        <w:tc>
          <w:tcPr>
            <w:tcW w:w="2055" w:type="dxa"/>
          </w:tcPr>
          <w:p w14:paraId="01C373D2" w14:textId="0A374FB0"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lastRenderedPageBreak/>
              <w:t>Stoffe auf Holz- und Pflanzenbasis</w:t>
            </w:r>
          </w:p>
        </w:tc>
        <w:tc>
          <w:tcPr>
            <w:tcW w:w="1094" w:type="dxa"/>
          </w:tcPr>
          <w:p w14:paraId="01C373D3" w14:textId="1219F416" w:rsidR="00C029D2" w:rsidRPr="00BA64FA" w:rsidRDefault="00C029D2" w:rsidP="00C029D2">
            <w:pPr>
              <w:keepNext/>
              <w:keepLines/>
              <w:spacing w:before="120" w:after="120"/>
              <w:jc w:val="center"/>
              <w:rPr>
                <w:color w:val="000000" w:themeColor="text1"/>
                <w:sz w:val="16"/>
                <w:szCs w:val="16"/>
              </w:rPr>
            </w:pPr>
            <w:proofErr w:type="spellStart"/>
            <w:r>
              <w:rPr>
                <w:color w:val="000000"/>
                <w:sz w:val="16"/>
                <w:szCs w:val="16"/>
              </w:rPr>
              <w:t>Siehe</w:t>
            </w:r>
            <w:proofErr w:type="spellEnd"/>
            <w:r>
              <w:rPr>
                <w:color w:val="000000"/>
                <w:sz w:val="16"/>
                <w:szCs w:val="16"/>
              </w:rPr>
              <w:t xml:space="preserve"> </w:t>
            </w:r>
            <w:proofErr w:type="spellStart"/>
            <w:r>
              <w:rPr>
                <w:color w:val="000000"/>
                <w:sz w:val="16"/>
                <w:szCs w:val="16"/>
              </w:rPr>
              <w:t>Referenzen</w:t>
            </w:r>
            <w:proofErr w:type="spellEnd"/>
          </w:p>
        </w:tc>
        <w:tc>
          <w:tcPr>
            <w:tcW w:w="3959" w:type="dxa"/>
          </w:tcPr>
          <w:p w14:paraId="01C373D4" w14:textId="3CE811C6"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t>Stoffe auf Holz- und Pflanzenbasis (Papier, Holz etc.) darf nicht aus illegalen Quellen stammen. Die Verwendung von anerkannten Forstzertifizierungsformen wird bevorzugt. Die Verwendung von recycelten Bestandteilen (normalerweise 10-90% je nachdem welches Teil geliefert wird) wird bevorzugt.</w:t>
            </w:r>
          </w:p>
        </w:tc>
        <w:tc>
          <w:tcPr>
            <w:tcW w:w="2432" w:type="dxa"/>
            <w:gridSpan w:val="2"/>
          </w:tcPr>
          <w:p w14:paraId="1CF7F9F1" w14:textId="77777777" w:rsidR="00C029D2" w:rsidRPr="004E46E3" w:rsidRDefault="00C029D2" w:rsidP="00C029D2">
            <w:pPr>
              <w:keepNext/>
              <w:keepLines/>
              <w:spacing w:before="120" w:after="120"/>
              <w:rPr>
                <w:color w:val="000000"/>
                <w:sz w:val="16"/>
                <w:szCs w:val="16"/>
                <w:lang w:val="de-DE"/>
              </w:rPr>
            </w:pPr>
            <w:r w:rsidRPr="004E46E3">
              <w:rPr>
                <w:color w:val="000000"/>
                <w:sz w:val="16"/>
                <w:szCs w:val="16"/>
                <w:lang w:val="de-DE"/>
              </w:rPr>
              <w:t>EG – Verordnung EG 995/2010 und Ergänzungen</w:t>
            </w:r>
          </w:p>
          <w:p w14:paraId="01C373D6" w14:textId="703C596E"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t>USA – Lacey Act und Ergänzungen</w:t>
            </w:r>
          </w:p>
        </w:tc>
      </w:tr>
      <w:tr w:rsidR="00C029D2" w:rsidRPr="00BA64FA" w14:paraId="01C373DC" w14:textId="77777777" w:rsidTr="00A37697">
        <w:trPr>
          <w:gridBefore w:val="1"/>
          <w:wBefore w:w="9" w:type="dxa"/>
          <w:cantSplit/>
        </w:trPr>
        <w:tc>
          <w:tcPr>
            <w:tcW w:w="2055" w:type="dxa"/>
          </w:tcPr>
          <w:p w14:paraId="01C373D8" w14:textId="6850D520" w:rsidR="00C029D2" w:rsidRPr="00BA64FA" w:rsidRDefault="00C029D2" w:rsidP="00C029D2">
            <w:pPr>
              <w:keepNext/>
              <w:keepLines/>
              <w:spacing w:before="120" w:after="120"/>
              <w:rPr>
                <w:color w:val="000000" w:themeColor="text1"/>
                <w:sz w:val="16"/>
                <w:szCs w:val="16"/>
              </w:rPr>
            </w:pPr>
            <w:proofErr w:type="spellStart"/>
            <w:r>
              <w:rPr>
                <w:color w:val="000000"/>
                <w:sz w:val="16"/>
                <w:szCs w:val="16"/>
              </w:rPr>
              <w:t>Toluol</w:t>
            </w:r>
            <w:proofErr w:type="spellEnd"/>
          </w:p>
        </w:tc>
        <w:tc>
          <w:tcPr>
            <w:tcW w:w="1094" w:type="dxa"/>
          </w:tcPr>
          <w:p w14:paraId="01C373D9" w14:textId="111699E0" w:rsidR="00C029D2" w:rsidRPr="00BA64FA" w:rsidRDefault="00C029D2" w:rsidP="00C029D2">
            <w:pPr>
              <w:keepNext/>
              <w:keepLines/>
              <w:spacing w:before="120" w:after="120"/>
              <w:jc w:val="center"/>
              <w:rPr>
                <w:color w:val="000000" w:themeColor="text1"/>
                <w:sz w:val="16"/>
                <w:szCs w:val="16"/>
              </w:rPr>
            </w:pPr>
            <w:r>
              <w:rPr>
                <w:color w:val="000000"/>
                <w:sz w:val="16"/>
                <w:szCs w:val="16"/>
              </w:rPr>
              <w:t>108-88-3</w:t>
            </w:r>
          </w:p>
        </w:tc>
        <w:tc>
          <w:tcPr>
            <w:tcW w:w="3959" w:type="dxa"/>
          </w:tcPr>
          <w:p w14:paraId="01C373DA" w14:textId="1CDDDBF6"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t>Darf nicht als Stoff oder Bestandteil einer Zubereitung in Konzentrationen höher als 0,1 Gewichts-% (1000 ppm) in Klebstoffen und Sprühfarben enthalten sein, die für die allgemeine Verwendung gedacht sind.</w:t>
            </w:r>
          </w:p>
        </w:tc>
        <w:tc>
          <w:tcPr>
            <w:tcW w:w="2432" w:type="dxa"/>
            <w:gridSpan w:val="2"/>
          </w:tcPr>
          <w:p w14:paraId="01C373DB" w14:textId="33291F3A"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t>EG – Verordnung 1907/2006/EG Anhang 11 Anhang 11 und Ergänzungen</w:t>
            </w:r>
          </w:p>
        </w:tc>
      </w:tr>
      <w:tr w:rsidR="00C029D2" w:rsidRPr="00BA64FA" w14:paraId="01C373E8" w14:textId="77777777" w:rsidTr="00A37697">
        <w:trPr>
          <w:gridBefore w:val="1"/>
          <w:wBefore w:w="9" w:type="dxa"/>
          <w:cantSplit/>
        </w:trPr>
        <w:tc>
          <w:tcPr>
            <w:tcW w:w="2057" w:type="dxa"/>
          </w:tcPr>
          <w:p w14:paraId="01C373E4" w14:textId="247D3CF2" w:rsidR="00C029D2" w:rsidRPr="00BA64FA" w:rsidRDefault="00C029D2" w:rsidP="00C029D2">
            <w:pPr>
              <w:keepNext/>
              <w:keepLines/>
              <w:spacing w:before="120" w:after="120"/>
              <w:rPr>
                <w:color w:val="000000" w:themeColor="text1"/>
                <w:sz w:val="16"/>
                <w:szCs w:val="16"/>
              </w:rPr>
            </w:pPr>
            <w:proofErr w:type="spellStart"/>
            <w:r>
              <w:rPr>
                <w:color w:val="000000"/>
                <w:sz w:val="16"/>
                <w:szCs w:val="16"/>
              </w:rPr>
              <w:t>Trichlorbenzol</w:t>
            </w:r>
            <w:proofErr w:type="spellEnd"/>
          </w:p>
        </w:tc>
        <w:tc>
          <w:tcPr>
            <w:tcW w:w="1089" w:type="dxa"/>
          </w:tcPr>
          <w:p w14:paraId="01C373E5" w14:textId="22858A1A" w:rsidR="00C029D2" w:rsidRPr="00BA64FA" w:rsidRDefault="00C029D2" w:rsidP="00C029D2">
            <w:pPr>
              <w:keepNext/>
              <w:keepLines/>
              <w:spacing w:before="120" w:after="120"/>
              <w:jc w:val="center"/>
              <w:rPr>
                <w:color w:val="000000" w:themeColor="text1"/>
                <w:sz w:val="16"/>
                <w:szCs w:val="16"/>
              </w:rPr>
            </w:pPr>
            <w:r>
              <w:rPr>
                <w:color w:val="000000"/>
                <w:sz w:val="16"/>
                <w:szCs w:val="16"/>
              </w:rPr>
              <w:t>120-82-1</w:t>
            </w:r>
          </w:p>
        </w:tc>
        <w:tc>
          <w:tcPr>
            <w:tcW w:w="3964" w:type="dxa"/>
          </w:tcPr>
          <w:p w14:paraId="01C373E6" w14:textId="123D1679"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t>Darf nicht als Stoff oder Bestandteil einer Zubereitung in Konzentrationen höher als 0,1 Gewichts-% (1000 ppm) enthalten sein.</w:t>
            </w:r>
          </w:p>
        </w:tc>
        <w:tc>
          <w:tcPr>
            <w:tcW w:w="2430" w:type="dxa"/>
            <w:gridSpan w:val="2"/>
          </w:tcPr>
          <w:p w14:paraId="01C373E7" w14:textId="60060545" w:rsidR="00C029D2" w:rsidRPr="00BA64FA" w:rsidRDefault="00C029D2" w:rsidP="00C029D2">
            <w:pPr>
              <w:pStyle w:val="sBullet"/>
              <w:numPr>
                <w:ilvl w:val="0"/>
                <w:numId w:val="0"/>
              </w:numPr>
              <w:spacing w:before="120" w:after="120"/>
              <w:contextualSpacing w:val="0"/>
            </w:pPr>
            <w:r>
              <w:t xml:space="preserve">EG – </w:t>
            </w:r>
            <w:proofErr w:type="spellStart"/>
            <w:r>
              <w:t>Verordnung</w:t>
            </w:r>
            <w:proofErr w:type="spellEnd"/>
            <w:r>
              <w:t xml:space="preserve"> 1907/2006/EG</w:t>
            </w:r>
            <w:r>
              <w:rPr>
                <w:szCs w:val="24"/>
              </w:rPr>
              <w:t xml:space="preserve"> </w:t>
            </w:r>
            <w:proofErr w:type="spellStart"/>
            <w:r>
              <w:rPr>
                <w:szCs w:val="24"/>
              </w:rPr>
              <w:t>Anhang</w:t>
            </w:r>
            <w:proofErr w:type="spellEnd"/>
            <w:r>
              <w:rPr>
                <w:szCs w:val="24"/>
              </w:rPr>
              <w:t xml:space="preserve"> 11</w:t>
            </w:r>
            <w:r>
              <w:t xml:space="preserve"> und </w:t>
            </w:r>
            <w:proofErr w:type="spellStart"/>
            <w:r>
              <w:t>Ergänzungen</w:t>
            </w:r>
            <w:proofErr w:type="spellEnd"/>
          </w:p>
        </w:tc>
      </w:tr>
      <w:tr w:rsidR="00C029D2" w:rsidRPr="00BA64FA" w14:paraId="01C373F0" w14:textId="77777777" w:rsidTr="00A37697">
        <w:trPr>
          <w:gridBefore w:val="1"/>
          <w:wBefore w:w="9" w:type="dxa"/>
          <w:cantSplit/>
        </w:trPr>
        <w:tc>
          <w:tcPr>
            <w:tcW w:w="2057" w:type="dxa"/>
          </w:tcPr>
          <w:p w14:paraId="74D0B6D4" w14:textId="77777777" w:rsidR="00C029D2" w:rsidRPr="004E46E3" w:rsidRDefault="00C029D2" w:rsidP="00C029D2">
            <w:pPr>
              <w:keepNext/>
              <w:keepLines/>
              <w:spacing w:before="120" w:after="120"/>
              <w:rPr>
                <w:color w:val="000000"/>
                <w:sz w:val="16"/>
                <w:szCs w:val="16"/>
                <w:lang w:val="de-DE"/>
              </w:rPr>
            </w:pPr>
            <w:r w:rsidRPr="004E46E3">
              <w:rPr>
                <w:color w:val="000000"/>
                <w:sz w:val="16"/>
                <w:szCs w:val="16"/>
                <w:lang w:val="de-DE"/>
              </w:rPr>
              <w:t xml:space="preserve">Tris(2,3-Dibrompropyl)Phosphat, </w:t>
            </w:r>
          </w:p>
          <w:p w14:paraId="01C373EA" w14:textId="0602EB50"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t>Tris(1-Aziridinyl)-Phosphinoxid</w:t>
            </w:r>
          </w:p>
        </w:tc>
        <w:tc>
          <w:tcPr>
            <w:tcW w:w="1089" w:type="dxa"/>
          </w:tcPr>
          <w:p w14:paraId="5458D7E7" w14:textId="77777777" w:rsidR="00C029D2" w:rsidRPr="00D0185A" w:rsidRDefault="00C029D2" w:rsidP="00C029D2">
            <w:pPr>
              <w:keepNext/>
              <w:keepLines/>
              <w:spacing w:before="120" w:after="120"/>
              <w:jc w:val="center"/>
              <w:rPr>
                <w:color w:val="000000"/>
                <w:sz w:val="16"/>
                <w:szCs w:val="16"/>
              </w:rPr>
            </w:pPr>
            <w:r>
              <w:rPr>
                <w:color w:val="000000"/>
                <w:sz w:val="16"/>
                <w:szCs w:val="16"/>
              </w:rPr>
              <w:t>126-72-7</w:t>
            </w:r>
          </w:p>
          <w:p w14:paraId="6F5FAB7B" w14:textId="77777777" w:rsidR="00C029D2" w:rsidRPr="00D0185A" w:rsidRDefault="00C029D2" w:rsidP="00C029D2">
            <w:pPr>
              <w:keepNext/>
              <w:keepLines/>
              <w:spacing w:before="120" w:after="120"/>
              <w:jc w:val="center"/>
              <w:rPr>
                <w:color w:val="000000"/>
                <w:sz w:val="16"/>
                <w:szCs w:val="16"/>
              </w:rPr>
            </w:pPr>
          </w:p>
          <w:p w14:paraId="01C373ED" w14:textId="44428379" w:rsidR="00C029D2" w:rsidRPr="00BA64FA" w:rsidRDefault="00C029D2" w:rsidP="00C029D2">
            <w:pPr>
              <w:keepNext/>
              <w:keepLines/>
              <w:spacing w:after="120"/>
              <w:jc w:val="center"/>
              <w:rPr>
                <w:color w:val="000000" w:themeColor="text1"/>
                <w:sz w:val="16"/>
                <w:szCs w:val="16"/>
              </w:rPr>
            </w:pPr>
            <w:r>
              <w:rPr>
                <w:color w:val="000000"/>
                <w:sz w:val="16"/>
                <w:szCs w:val="16"/>
              </w:rPr>
              <w:t>545-55-1</w:t>
            </w:r>
          </w:p>
        </w:tc>
        <w:tc>
          <w:tcPr>
            <w:tcW w:w="3964" w:type="dxa"/>
          </w:tcPr>
          <w:p w14:paraId="01C373EE" w14:textId="7BF80C4C" w:rsidR="00C029D2" w:rsidRPr="00BA64FA" w:rsidRDefault="00C029D2" w:rsidP="00C029D2">
            <w:pPr>
              <w:keepNext/>
              <w:keepLines/>
              <w:spacing w:before="120" w:after="120"/>
              <w:rPr>
                <w:color w:val="000000" w:themeColor="text1"/>
                <w:sz w:val="16"/>
                <w:szCs w:val="16"/>
              </w:rPr>
            </w:pPr>
            <w:r w:rsidRPr="004E46E3">
              <w:rPr>
                <w:color w:val="000000"/>
                <w:sz w:val="16"/>
                <w:szCs w:val="16"/>
                <w:lang w:val="de-DE"/>
              </w:rPr>
              <w:t>Darf nicht in Textilien verwendet werden, die für Hautkontakt vorgesehen sind, zum Beispiel Kopfhörer oder Armbänder.</w:t>
            </w:r>
          </w:p>
        </w:tc>
        <w:tc>
          <w:tcPr>
            <w:tcW w:w="2430" w:type="dxa"/>
            <w:gridSpan w:val="2"/>
          </w:tcPr>
          <w:p w14:paraId="01C373EF" w14:textId="7E4B89CE" w:rsidR="00C029D2" w:rsidRPr="00BA64FA" w:rsidRDefault="00C029D2" w:rsidP="00C029D2">
            <w:pPr>
              <w:pStyle w:val="sBullet"/>
              <w:numPr>
                <w:ilvl w:val="0"/>
                <w:numId w:val="0"/>
              </w:numPr>
              <w:spacing w:before="120" w:after="120"/>
              <w:contextualSpacing w:val="0"/>
            </w:pPr>
            <w:r>
              <w:t xml:space="preserve">EG – </w:t>
            </w:r>
            <w:proofErr w:type="spellStart"/>
            <w:r>
              <w:t>Verordnung</w:t>
            </w:r>
            <w:proofErr w:type="spellEnd"/>
            <w:r>
              <w:t xml:space="preserve"> 1907/2006/EG</w:t>
            </w:r>
            <w:r>
              <w:rPr>
                <w:szCs w:val="24"/>
              </w:rPr>
              <w:t xml:space="preserve"> </w:t>
            </w:r>
            <w:proofErr w:type="spellStart"/>
            <w:r>
              <w:rPr>
                <w:szCs w:val="24"/>
              </w:rPr>
              <w:t>Anhang</w:t>
            </w:r>
            <w:proofErr w:type="spellEnd"/>
            <w:r>
              <w:rPr>
                <w:szCs w:val="24"/>
              </w:rPr>
              <w:t xml:space="preserve"> 11</w:t>
            </w:r>
            <w:r>
              <w:t xml:space="preserve"> und </w:t>
            </w:r>
            <w:proofErr w:type="spellStart"/>
            <w:r>
              <w:t>Ergänzungen</w:t>
            </w:r>
            <w:proofErr w:type="spellEnd"/>
          </w:p>
        </w:tc>
      </w:tr>
      <w:tr w:rsidR="005D3ED4" w:rsidRPr="0041704D" w14:paraId="01C373F4" w14:textId="77777777" w:rsidTr="00A37697">
        <w:tblPrEx>
          <w:jc w:val="center"/>
          <w:tblInd w:w="0" w:type="dxa"/>
          <w:tblCellMar>
            <w:left w:w="115" w:type="dxa"/>
            <w:right w:w="115" w:type="dxa"/>
          </w:tblCellMar>
        </w:tblPrEx>
        <w:trPr>
          <w:gridAfter w:val="1"/>
          <w:wAfter w:w="7" w:type="dxa"/>
          <w:cantSplit/>
          <w:jc w:val="center"/>
        </w:trPr>
        <w:tc>
          <w:tcPr>
            <w:tcW w:w="9542" w:type="dxa"/>
            <w:gridSpan w:val="5"/>
          </w:tcPr>
          <w:p w14:paraId="045DFBED" w14:textId="77777777" w:rsidR="00435062" w:rsidRPr="004E46E3" w:rsidRDefault="00435062" w:rsidP="00C5606C">
            <w:pPr>
              <w:pStyle w:val="ListParagraph"/>
              <w:numPr>
                <w:ilvl w:val="0"/>
                <w:numId w:val="1"/>
              </w:numPr>
              <w:spacing w:before="60"/>
              <w:ind w:left="173" w:hanging="187"/>
              <w:contextualSpacing w:val="0"/>
              <w:rPr>
                <w:color w:val="000000"/>
                <w:sz w:val="16"/>
                <w:szCs w:val="16"/>
                <w:lang w:val="de-DE"/>
              </w:rPr>
            </w:pPr>
            <w:r w:rsidRPr="004E46E3">
              <w:rPr>
                <w:color w:val="000000"/>
                <w:sz w:val="16"/>
                <w:szCs w:val="16"/>
                <w:lang w:val="de-DE"/>
              </w:rPr>
              <w:t>Die komplette Liste der genauen Stoffbezeichnungen und chemischen Kennungen entnehmen Sie bitte dem Abschnitt Referenzen.</w:t>
            </w:r>
          </w:p>
          <w:p w14:paraId="017A0B85" w14:textId="77777777" w:rsidR="00435062" w:rsidRDefault="00435062" w:rsidP="00C5606C">
            <w:pPr>
              <w:pStyle w:val="ListParagraph"/>
              <w:numPr>
                <w:ilvl w:val="0"/>
                <w:numId w:val="1"/>
              </w:numPr>
              <w:ind w:left="173" w:hanging="187"/>
              <w:contextualSpacing w:val="0"/>
              <w:rPr>
                <w:color w:val="000000"/>
                <w:sz w:val="16"/>
                <w:szCs w:val="16"/>
                <w:lang w:val="de-DE"/>
              </w:rPr>
            </w:pPr>
            <w:r w:rsidRPr="004E46E3">
              <w:rPr>
                <w:color w:val="000000"/>
                <w:sz w:val="16"/>
                <w:szCs w:val="16"/>
                <w:lang w:val="de-DE"/>
              </w:rPr>
              <w:t xml:space="preserve">Dies ist nur eine Zusammenfassung der Mindestanforderungen für diesen Stoff. Details, Ausnahmen und Anwendungsbereiche entnehmen Sie bitte dem Abschnitt Referenzen. </w:t>
            </w:r>
          </w:p>
          <w:p w14:paraId="01C373F3" w14:textId="26A4205B" w:rsidR="005D3ED4" w:rsidRPr="00435062" w:rsidRDefault="00435062" w:rsidP="00C5606C">
            <w:pPr>
              <w:pStyle w:val="ListParagraph"/>
              <w:numPr>
                <w:ilvl w:val="0"/>
                <w:numId w:val="1"/>
              </w:numPr>
              <w:spacing w:after="60"/>
              <w:ind w:left="173" w:hanging="187"/>
              <w:contextualSpacing w:val="0"/>
              <w:rPr>
                <w:color w:val="000000"/>
                <w:sz w:val="16"/>
                <w:szCs w:val="16"/>
                <w:lang w:val="de-DE"/>
              </w:rPr>
            </w:pPr>
            <w:r w:rsidRPr="00435062">
              <w:rPr>
                <w:color w:val="000000"/>
                <w:sz w:val="16"/>
                <w:szCs w:val="16"/>
                <w:lang w:val="de-DE"/>
              </w:rPr>
              <w:t xml:space="preserve">Diese Referenzen sind Hauptquellen für die aufgeführten Stoffe. Andere Referenzen sind eventuell auch zutreffend. </w:t>
            </w:r>
            <w:r w:rsidRPr="00435062">
              <w:rPr>
                <w:color w:val="000000"/>
                <w:sz w:val="16"/>
                <w:szCs w:val="16"/>
              </w:rPr>
              <w:t xml:space="preserve">Die </w:t>
            </w:r>
            <w:proofErr w:type="spellStart"/>
            <w:r w:rsidRPr="00435062">
              <w:rPr>
                <w:color w:val="000000"/>
                <w:sz w:val="16"/>
                <w:szCs w:val="16"/>
              </w:rPr>
              <w:t>Referenzen</w:t>
            </w:r>
            <w:proofErr w:type="spellEnd"/>
            <w:r w:rsidRPr="00435062">
              <w:rPr>
                <w:color w:val="000000"/>
                <w:sz w:val="16"/>
                <w:szCs w:val="16"/>
              </w:rPr>
              <w:t xml:space="preserve"> </w:t>
            </w:r>
            <w:proofErr w:type="spellStart"/>
            <w:r w:rsidRPr="00435062">
              <w:rPr>
                <w:color w:val="000000"/>
                <w:sz w:val="16"/>
                <w:szCs w:val="16"/>
              </w:rPr>
              <w:t>können</w:t>
            </w:r>
            <w:proofErr w:type="spellEnd"/>
            <w:r w:rsidRPr="00435062">
              <w:rPr>
                <w:color w:val="000000"/>
                <w:sz w:val="16"/>
                <w:szCs w:val="16"/>
              </w:rPr>
              <w:t xml:space="preserve"> </w:t>
            </w:r>
            <w:proofErr w:type="spellStart"/>
            <w:r w:rsidRPr="00435062">
              <w:rPr>
                <w:color w:val="000000"/>
                <w:sz w:val="16"/>
                <w:szCs w:val="16"/>
              </w:rPr>
              <w:t>jederzeit</w:t>
            </w:r>
            <w:proofErr w:type="spellEnd"/>
            <w:r w:rsidRPr="00435062">
              <w:rPr>
                <w:color w:val="000000"/>
                <w:sz w:val="16"/>
                <w:szCs w:val="16"/>
              </w:rPr>
              <w:t xml:space="preserve"> </w:t>
            </w:r>
            <w:proofErr w:type="spellStart"/>
            <w:r w:rsidRPr="00435062">
              <w:rPr>
                <w:color w:val="000000"/>
                <w:sz w:val="16"/>
                <w:szCs w:val="16"/>
              </w:rPr>
              <w:t>geändert</w:t>
            </w:r>
            <w:proofErr w:type="spellEnd"/>
            <w:r w:rsidRPr="00435062">
              <w:rPr>
                <w:color w:val="000000"/>
                <w:sz w:val="16"/>
                <w:szCs w:val="16"/>
              </w:rPr>
              <w:t xml:space="preserve"> und </w:t>
            </w:r>
            <w:proofErr w:type="spellStart"/>
            <w:r w:rsidRPr="00435062">
              <w:rPr>
                <w:color w:val="000000"/>
                <w:sz w:val="16"/>
                <w:szCs w:val="16"/>
              </w:rPr>
              <w:t>aktualisiert</w:t>
            </w:r>
            <w:proofErr w:type="spellEnd"/>
            <w:r w:rsidRPr="00435062">
              <w:rPr>
                <w:color w:val="000000"/>
                <w:sz w:val="16"/>
                <w:szCs w:val="16"/>
              </w:rPr>
              <w:t xml:space="preserve"> </w:t>
            </w:r>
            <w:proofErr w:type="spellStart"/>
            <w:r w:rsidRPr="00435062">
              <w:rPr>
                <w:color w:val="000000"/>
                <w:sz w:val="16"/>
                <w:szCs w:val="16"/>
              </w:rPr>
              <w:t>werden</w:t>
            </w:r>
            <w:proofErr w:type="spellEnd"/>
            <w:r w:rsidRPr="00435062">
              <w:rPr>
                <w:color w:val="000000"/>
                <w:sz w:val="16"/>
                <w:szCs w:val="16"/>
              </w:rPr>
              <w:t>.</w:t>
            </w:r>
          </w:p>
        </w:tc>
      </w:tr>
    </w:tbl>
    <w:p w14:paraId="01C373F5" w14:textId="2842E481" w:rsidR="00311764" w:rsidRPr="00A71187" w:rsidRDefault="00991B50" w:rsidP="000D7BE7">
      <w:pPr>
        <w:pStyle w:val="Heading1"/>
        <w:rPr>
          <w:rFonts w:ascii="Arial" w:hAnsi="Arial" w:cs="Arial"/>
        </w:rPr>
      </w:pPr>
      <w:bookmarkStart w:id="3" w:name="_Toc535403701"/>
      <w:r>
        <w:rPr>
          <w:rFonts w:ascii="Arial" w:hAnsi="Arial" w:cs="Arial"/>
        </w:rPr>
        <w:t xml:space="preserve">3. </w:t>
      </w:r>
      <w:bookmarkEnd w:id="3"/>
      <w:proofErr w:type="spellStart"/>
      <w:r w:rsidR="00870BFC">
        <w:rPr>
          <w:rFonts w:ascii="Arial" w:hAnsi="Arial"/>
          <w:bCs w:val="0"/>
          <w:szCs w:val="24"/>
        </w:rPr>
        <w:t>Neueste</w:t>
      </w:r>
      <w:proofErr w:type="spellEnd"/>
      <w:r w:rsidR="00870BFC">
        <w:rPr>
          <w:rFonts w:ascii="Arial" w:hAnsi="Arial"/>
          <w:bCs w:val="0"/>
          <w:szCs w:val="24"/>
        </w:rPr>
        <w:t xml:space="preserve"> </w:t>
      </w:r>
      <w:proofErr w:type="spellStart"/>
      <w:r w:rsidR="00870BFC">
        <w:rPr>
          <w:rFonts w:ascii="Arial" w:hAnsi="Arial"/>
          <w:bCs w:val="0"/>
          <w:szCs w:val="24"/>
        </w:rPr>
        <w:t>Revisionsänderungen</w:t>
      </w:r>
      <w:proofErr w:type="spellEnd"/>
    </w:p>
    <w:p w14:paraId="098BCA9B" w14:textId="15B4AB76" w:rsidR="007808F0" w:rsidRPr="00EF11F7" w:rsidRDefault="00AF7986" w:rsidP="00715B53">
      <w:pPr>
        <w:spacing w:before="240" w:after="0"/>
        <w:rPr>
          <w:color w:val="000000" w:themeColor="text1"/>
        </w:rPr>
      </w:pPr>
      <w:r w:rsidRPr="004E46E3">
        <w:rPr>
          <w:lang w:val="de-DE"/>
        </w:rPr>
        <w:t>Vorgängerversion des GPCSE ist</w:t>
      </w:r>
      <w:r>
        <w:rPr>
          <w:color w:val="000000" w:themeColor="text1"/>
        </w:rPr>
        <w:t xml:space="preserve"> </w:t>
      </w:r>
      <w:r w:rsidR="009034D2">
        <w:rPr>
          <w:color w:val="000000" w:themeColor="text1"/>
        </w:rPr>
        <w:t>Z</w:t>
      </w:r>
      <w:r w:rsidR="00715B53" w:rsidRPr="00EF11F7">
        <w:rPr>
          <w:color w:val="000000" w:themeColor="text1"/>
        </w:rPr>
        <w:t xml:space="preserve">, </w:t>
      </w:r>
      <w:r w:rsidR="009034D2">
        <w:rPr>
          <w:color w:val="000000" w:themeColor="text1"/>
        </w:rPr>
        <w:t xml:space="preserve">16 </w:t>
      </w:r>
      <w:proofErr w:type="spellStart"/>
      <w:r w:rsidR="00715B53" w:rsidRPr="00EF11F7">
        <w:rPr>
          <w:color w:val="000000" w:themeColor="text1"/>
        </w:rPr>
        <w:t>J</w:t>
      </w:r>
      <w:r w:rsidR="009034D2">
        <w:rPr>
          <w:color w:val="000000" w:themeColor="text1"/>
        </w:rPr>
        <w:t>anuar</w:t>
      </w:r>
      <w:proofErr w:type="spellEnd"/>
      <w:r w:rsidR="00715B53" w:rsidRPr="00EF11F7">
        <w:rPr>
          <w:color w:val="000000" w:themeColor="text1"/>
        </w:rPr>
        <w:t xml:space="preserve"> 201</w:t>
      </w:r>
      <w:r w:rsidR="009034D2">
        <w:rPr>
          <w:color w:val="000000" w:themeColor="text1"/>
        </w:rPr>
        <w:t>9</w:t>
      </w:r>
      <w:r w:rsidR="00991B50" w:rsidRPr="00EF11F7">
        <w:rPr>
          <w:color w:val="000000" w:themeColor="text1"/>
        </w:rPr>
        <w:t xml:space="preserve">. </w:t>
      </w:r>
      <w:r w:rsidRPr="004E46E3">
        <w:rPr>
          <w:lang w:val="de-DE"/>
        </w:rPr>
        <w:t>Die neueste Revision enthält die folgenden wichtigen Änderungen</w:t>
      </w:r>
      <w:r w:rsidR="00991B50" w:rsidRPr="00EF11F7">
        <w:rPr>
          <w:color w:val="000000" w:themeColor="text1"/>
        </w:rPr>
        <w:t>:</w:t>
      </w:r>
      <w:bookmarkStart w:id="4" w:name="_Toc297800673"/>
    </w:p>
    <w:p w14:paraId="71F77BA7" w14:textId="48FBD3CE" w:rsidR="00130C9E" w:rsidRDefault="00AF7986" w:rsidP="00130C9E">
      <w:pPr>
        <w:pStyle w:val="ListParagraph"/>
        <w:numPr>
          <w:ilvl w:val="0"/>
          <w:numId w:val="11"/>
        </w:numPr>
        <w:rPr>
          <w:color w:val="000000" w:themeColor="text1"/>
          <w:szCs w:val="20"/>
        </w:rPr>
      </w:pPr>
      <w:r w:rsidRPr="00435062">
        <w:rPr>
          <w:rFonts w:cs="Times New Roman"/>
          <w:szCs w:val="24"/>
          <w:lang w:val="de-DE"/>
        </w:rPr>
        <w:t xml:space="preserve">ECHA hat seit der vorherigen Version </w:t>
      </w:r>
      <w:r w:rsidR="00130C9E">
        <w:rPr>
          <w:rFonts w:cs="Times New Roman"/>
          <w:szCs w:val="24"/>
          <w:lang w:val="de-DE"/>
        </w:rPr>
        <w:t>vier</w:t>
      </w:r>
      <w:r w:rsidRPr="00435062">
        <w:rPr>
          <w:rFonts w:cs="Times New Roman"/>
          <w:szCs w:val="24"/>
          <w:lang w:val="de-DE"/>
        </w:rPr>
        <w:t xml:space="preserve"> Elemente (unten aufgeführt) zur REACH-Kandidatenliste für besonders besorgniserregende Stoffe (SVHC-Stoffe) hinzugefügt.</w:t>
      </w:r>
      <w:r w:rsidRPr="00435062">
        <w:rPr>
          <w:rFonts w:cs="Times New Roman"/>
          <w:color w:val="FF0000"/>
          <w:szCs w:val="24"/>
          <w:lang w:val="de-DE"/>
        </w:rPr>
        <w:t xml:space="preserve"> </w:t>
      </w:r>
      <w:r w:rsidRPr="00435062">
        <w:rPr>
          <w:rFonts w:cs="Times New Roman"/>
          <w:szCs w:val="24"/>
          <w:lang w:val="de-DE"/>
        </w:rPr>
        <w:t xml:space="preserve">Die Gesamtzahl der SVHC beträgt nun </w:t>
      </w:r>
      <w:r w:rsidR="009034D2">
        <w:rPr>
          <w:rFonts w:cs="Times New Roman"/>
          <w:szCs w:val="24"/>
          <w:lang w:val="de-DE"/>
        </w:rPr>
        <w:t>201</w:t>
      </w:r>
      <w:r w:rsidR="008D1B66" w:rsidRPr="00435062">
        <w:rPr>
          <w:color w:val="000000" w:themeColor="text1"/>
          <w:szCs w:val="20"/>
        </w:rPr>
        <w:t>.</w:t>
      </w:r>
    </w:p>
    <w:tbl>
      <w:tblPr>
        <w:tblW w:w="4276"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994"/>
        <w:gridCol w:w="1113"/>
        <w:gridCol w:w="3972"/>
        <w:gridCol w:w="1203"/>
      </w:tblGrid>
      <w:tr w:rsidR="00130C9E" w:rsidRPr="00EF11F7" w14:paraId="35357D76" w14:textId="77777777" w:rsidTr="00FF6831">
        <w:trPr>
          <w:cantSplit/>
          <w:tblHeader/>
        </w:trPr>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CB38996" w14:textId="77777777" w:rsidR="00130C9E" w:rsidRPr="00EF11F7" w:rsidRDefault="00130C9E" w:rsidP="00FF6831">
            <w:pPr>
              <w:spacing w:after="0"/>
              <w:jc w:val="center"/>
              <w:rPr>
                <w:rFonts w:eastAsiaTheme="majorEastAsia"/>
                <w:b/>
                <w:bCs/>
                <w:color w:val="000000" w:themeColor="text1"/>
                <w:sz w:val="16"/>
              </w:rPr>
            </w:pPr>
            <w:proofErr w:type="spellStart"/>
            <w:r w:rsidRPr="00FE0A4D">
              <w:rPr>
                <w:rFonts w:cs="Times New Roman"/>
                <w:b/>
                <w:sz w:val="16"/>
                <w:szCs w:val="24"/>
              </w:rPr>
              <w:t>Artikel</w:t>
            </w:r>
            <w:proofErr w:type="spellEnd"/>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EB21A60" w14:textId="77777777" w:rsidR="00130C9E" w:rsidRPr="00EF11F7" w:rsidRDefault="00130C9E" w:rsidP="00FF6831">
            <w:pPr>
              <w:spacing w:after="0"/>
              <w:jc w:val="center"/>
              <w:rPr>
                <w:rFonts w:eastAsiaTheme="majorEastAsia"/>
                <w:color w:val="000000" w:themeColor="text1"/>
                <w:sz w:val="16"/>
              </w:rPr>
            </w:pPr>
            <w:r w:rsidRPr="00FE0A4D">
              <w:rPr>
                <w:rFonts w:cs="Times New Roman"/>
                <w:b/>
                <w:sz w:val="16"/>
                <w:szCs w:val="24"/>
              </w:rPr>
              <w:t>EG-Nr.</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1AAE1BE" w14:textId="77777777" w:rsidR="00130C9E" w:rsidRPr="00EF11F7" w:rsidRDefault="00130C9E" w:rsidP="00FF6831">
            <w:pPr>
              <w:spacing w:after="0"/>
              <w:jc w:val="center"/>
              <w:rPr>
                <w:rFonts w:eastAsiaTheme="majorEastAsia"/>
                <w:color w:val="000000" w:themeColor="text1"/>
                <w:sz w:val="16"/>
              </w:rPr>
            </w:pPr>
            <w:r w:rsidRPr="00FE0A4D">
              <w:rPr>
                <w:rFonts w:cs="Times New Roman"/>
                <w:b/>
                <w:sz w:val="16"/>
                <w:szCs w:val="24"/>
              </w:rPr>
              <w:t>CAS-Nr.</w:t>
            </w:r>
          </w:p>
        </w:tc>
        <w:tc>
          <w:tcPr>
            <w:tcW w:w="24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3A2FC14" w14:textId="77777777" w:rsidR="00130C9E" w:rsidRPr="00FE0A4D" w:rsidRDefault="00130C9E" w:rsidP="00FF6831">
            <w:pPr>
              <w:spacing w:after="0" w:line="280" w:lineRule="auto"/>
              <w:jc w:val="center"/>
              <w:rPr>
                <w:rFonts w:cs="Times New Roman"/>
                <w:b/>
                <w:sz w:val="16"/>
                <w:szCs w:val="24"/>
              </w:rPr>
            </w:pPr>
            <w:proofErr w:type="spellStart"/>
            <w:r w:rsidRPr="00FE0A4D">
              <w:rPr>
                <w:rFonts w:cs="Times New Roman"/>
                <w:b/>
                <w:sz w:val="16"/>
                <w:szCs w:val="24"/>
              </w:rPr>
              <w:t>Besorgniserregende</w:t>
            </w:r>
            <w:proofErr w:type="spellEnd"/>
            <w:r w:rsidRPr="00FE0A4D">
              <w:rPr>
                <w:rFonts w:cs="Times New Roman"/>
                <w:b/>
                <w:sz w:val="16"/>
                <w:szCs w:val="24"/>
              </w:rPr>
              <w:t xml:space="preserve"> </w:t>
            </w:r>
            <w:proofErr w:type="spellStart"/>
            <w:r w:rsidRPr="00FE0A4D">
              <w:rPr>
                <w:rFonts w:cs="Times New Roman"/>
                <w:b/>
                <w:sz w:val="16"/>
                <w:szCs w:val="24"/>
              </w:rPr>
              <w:t>Kandidatenstoffe</w:t>
            </w:r>
            <w:proofErr w:type="spellEnd"/>
            <w:r w:rsidRPr="00FE0A4D">
              <w:rPr>
                <w:rFonts w:cs="Times New Roman"/>
                <w:b/>
                <w:sz w:val="16"/>
                <w:szCs w:val="24"/>
              </w:rPr>
              <w:t xml:space="preserve"> </w:t>
            </w:r>
          </w:p>
          <w:p w14:paraId="7EAD8518" w14:textId="77777777" w:rsidR="00130C9E" w:rsidRPr="00EF11F7" w:rsidRDefault="00130C9E" w:rsidP="00FF6831">
            <w:pPr>
              <w:spacing w:after="0"/>
              <w:jc w:val="center"/>
              <w:rPr>
                <w:rFonts w:eastAsiaTheme="majorEastAsia"/>
                <w:color w:val="000000" w:themeColor="text1"/>
                <w:sz w:val="16"/>
              </w:rPr>
            </w:pPr>
            <w:r w:rsidRPr="00FE0A4D">
              <w:rPr>
                <w:rFonts w:cs="Times New Roman"/>
                <w:b/>
                <w:sz w:val="16"/>
                <w:szCs w:val="24"/>
              </w:rPr>
              <w:t>(SVHC-</w:t>
            </w:r>
            <w:proofErr w:type="spellStart"/>
            <w:r w:rsidRPr="00FE0A4D">
              <w:rPr>
                <w:rFonts w:cs="Times New Roman"/>
                <w:b/>
                <w:sz w:val="16"/>
                <w:szCs w:val="24"/>
              </w:rPr>
              <w:t>Stoffe</w:t>
            </w:r>
            <w:proofErr w:type="spellEnd"/>
            <w:r w:rsidRPr="00FE0A4D">
              <w:rPr>
                <w:rFonts w:cs="Times New Roman"/>
                <w:b/>
                <w:sz w:val="16"/>
                <w:szCs w:val="24"/>
              </w:rPr>
              <w:t xml:space="preserve">) </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1D7F742" w14:textId="77777777" w:rsidR="00130C9E" w:rsidRPr="00EF11F7" w:rsidRDefault="00130C9E" w:rsidP="00FF6831">
            <w:pPr>
              <w:spacing w:after="0"/>
              <w:jc w:val="center"/>
              <w:rPr>
                <w:rFonts w:eastAsiaTheme="majorEastAsia"/>
                <w:b/>
                <w:bCs/>
                <w:color w:val="000000" w:themeColor="text1"/>
                <w:sz w:val="16"/>
              </w:rPr>
            </w:pPr>
            <w:proofErr w:type="spellStart"/>
            <w:r w:rsidRPr="00FE0A4D">
              <w:rPr>
                <w:rFonts w:cs="Times New Roman"/>
                <w:b/>
                <w:sz w:val="16"/>
                <w:szCs w:val="24"/>
              </w:rPr>
              <w:t>Ablauftermin</w:t>
            </w:r>
            <w:proofErr w:type="spellEnd"/>
            <w:r w:rsidRPr="00FE0A4D">
              <w:rPr>
                <w:rFonts w:cs="Times New Roman"/>
                <w:b/>
                <w:sz w:val="16"/>
                <w:szCs w:val="24"/>
              </w:rPr>
              <w:t xml:space="preserve"> </w:t>
            </w:r>
            <w:proofErr w:type="spellStart"/>
            <w:r w:rsidRPr="00FE0A4D">
              <w:rPr>
                <w:rFonts w:cs="Times New Roman"/>
                <w:b/>
                <w:sz w:val="16"/>
                <w:szCs w:val="24"/>
              </w:rPr>
              <w:t>Anhang</w:t>
            </w:r>
            <w:proofErr w:type="spellEnd"/>
            <w:r w:rsidRPr="00FE0A4D">
              <w:rPr>
                <w:rFonts w:cs="Times New Roman"/>
                <w:b/>
                <w:sz w:val="16"/>
                <w:szCs w:val="24"/>
              </w:rPr>
              <w:t xml:space="preserve"> XIV</w:t>
            </w:r>
          </w:p>
        </w:tc>
      </w:tr>
      <w:tr w:rsidR="00130C9E" w:rsidRPr="00EF11F7" w14:paraId="6FD12E3B" w14:textId="77777777" w:rsidTr="00FF6831">
        <w:tc>
          <w:tcPr>
            <w:tcW w:w="446" w:type="pct"/>
            <w:tcBorders>
              <w:top w:val="single" w:sz="4" w:space="0" w:color="000000" w:themeColor="text1"/>
              <w:left w:val="single" w:sz="4" w:space="0" w:color="000000"/>
              <w:bottom w:val="single" w:sz="4" w:space="0" w:color="000000" w:themeColor="text1"/>
              <w:right w:val="single" w:sz="4" w:space="0" w:color="000000"/>
            </w:tcBorders>
            <w:vAlign w:val="center"/>
          </w:tcPr>
          <w:p w14:paraId="601AF394" w14:textId="77777777" w:rsidR="00130C9E" w:rsidRPr="00EF11F7" w:rsidRDefault="00130C9E" w:rsidP="00FF6831">
            <w:pPr>
              <w:spacing w:before="60" w:after="60"/>
              <w:jc w:val="center"/>
              <w:rPr>
                <w:rFonts w:eastAsiaTheme="majorEastAsia"/>
                <w:color w:val="000000" w:themeColor="text1"/>
                <w:sz w:val="16"/>
              </w:rPr>
            </w:pPr>
            <w:r w:rsidRPr="00EF11F7">
              <w:rPr>
                <w:rFonts w:eastAsiaTheme="majorEastAsia"/>
                <w:color w:val="000000" w:themeColor="text1"/>
                <w:sz w:val="16"/>
              </w:rPr>
              <w:t>1</w:t>
            </w:r>
            <w:r>
              <w:rPr>
                <w:rFonts w:eastAsiaTheme="majorEastAsia"/>
                <w:color w:val="000000" w:themeColor="text1"/>
                <w:sz w:val="16"/>
              </w:rPr>
              <w:t>98</w:t>
            </w:r>
          </w:p>
        </w:tc>
        <w:tc>
          <w:tcPr>
            <w:tcW w:w="622" w:type="pct"/>
            <w:tcBorders>
              <w:top w:val="single" w:sz="4" w:space="0" w:color="000000" w:themeColor="text1"/>
              <w:left w:val="single" w:sz="4" w:space="0" w:color="000000"/>
              <w:bottom w:val="single" w:sz="4" w:space="0" w:color="000000" w:themeColor="text1"/>
              <w:right w:val="single" w:sz="4" w:space="0" w:color="000000"/>
            </w:tcBorders>
          </w:tcPr>
          <w:p w14:paraId="04FF5B32" w14:textId="77777777" w:rsidR="00130C9E" w:rsidRPr="00EF11F7" w:rsidRDefault="00130C9E" w:rsidP="00FF6831">
            <w:pPr>
              <w:spacing w:before="60" w:after="60"/>
              <w:jc w:val="center"/>
              <w:rPr>
                <w:color w:val="000000" w:themeColor="text1"/>
                <w:sz w:val="16"/>
                <w:szCs w:val="15"/>
              </w:rPr>
            </w:pPr>
            <w:r>
              <w:rPr>
                <w:color w:val="000000" w:themeColor="text1"/>
                <w:sz w:val="16"/>
                <w:szCs w:val="15"/>
              </w:rPr>
              <w:t>203-772-9</w:t>
            </w:r>
          </w:p>
        </w:tc>
        <w:tc>
          <w:tcPr>
            <w:tcW w:w="696" w:type="pct"/>
            <w:tcBorders>
              <w:top w:val="single" w:sz="4" w:space="0" w:color="000000" w:themeColor="text1"/>
              <w:left w:val="single" w:sz="4" w:space="0" w:color="000000"/>
              <w:bottom w:val="single" w:sz="4" w:space="0" w:color="000000" w:themeColor="text1"/>
              <w:right w:val="single" w:sz="4" w:space="0" w:color="000000"/>
            </w:tcBorders>
          </w:tcPr>
          <w:p w14:paraId="535A4C41" w14:textId="77777777" w:rsidR="00130C9E" w:rsidRPr="00EF11F7" w:rsidRDefault="00130C9E" w:rsidP="00FF6831">
            <w:pPr>
              <w:spacing w:before="60" w:after="60"/>
              <w:jc w:val="center"/>
              <w:rPr>
                <w:rFonts w:eastAsia="Times New Roman"/>
                <w:color w:val="000000" w:themeColor="text1"/>
                <w:sz w:val="16"/>
                <w:szCs w:val="15"/>
              </w:rPr>
            </w:pPr>
            <w:r>
              <w:rPr>
                <w:rFonts w:eastAsia="Times New Roman"/>
                <w:color w:val="000000" w:themeColor="text1"/>
                <w:sz w:val="16"/>
                <w:szCs w:val="15"/>
              </w:rPr>
              <w:t>110-49-6</w:t>
            </w:r>
          </w:p>
        </w:tc>
        <w:tc>
          <w:tcPr>
            <w:tcW w:w="2484" w:type="pct"/>
            <w:tcBorders>
              <w:top w:val="single" w:sz="4" w:space="0" w:color="000000" w:themeColor="text1"/>
              <w:left w:val="single" w:sz="4" w:space="0" w:color="000000"/>
              <w:bottom w:val="single" w:sz="4" w:space="0" w:color="000000" w:themeColor="text1"/>
              <w:right w:val="single" w:sz="4" w:space="0" w:color="000000"/>
            </w:tcBorders>
          </w:tcPr>
          <w:p w14:paraId="4A2C3134" w14:textId="77777777" w:rsidR="00130C9E" w:rsidRPr="00197B7F" w:rsidRDefault="00130C9E" w:rsidP="00FF6831">
            <w:pPr>
              <w:spacing w:before="60" w:after="60"/>
              <w:jc w:val="center"/>
              <w:rPr>
                <w:rFonts w:eastAsia="Times New Roman"/>
                <w:color w:val="000000" w:themeColor="text1"/>
                <w:sz w:val="16"/>
                <w:szCs w:val="15"/>
              </w:rPr>
            </w:pPr>
            <w:r w:rsidRPr="00197B7F">
              <w:rPr>
                <w:color w:val="002555"/>
                <w:sz w:val="16"/>
                <w:szCs w:val="18"/>
                <w:shd w:val="clear" w:color="auto" w:fill="FFFFFF"/>
              </w:rPr>
              <w:t>2</w:t>
            </w:r>
            <w:r>
              <w:rPr>
                <w:color w:val="002555"/>
                <w:sz w:val="16"/>
                <w:szCs w:val="18"/>
                <w:shd w:val="clear" w:color="auto" w:fill="FFFFFF"/>
              </w:rPr>
              <w:t>-methoxyethyl acetate</w:t>
            </w:r>
          </w:p>
        </w:tc>
        <w:tc>
          <w:tcPr>
            <w:tcW w:w="752" w:type="pct"/>
            <w:tcBorders>
              <w:top w:val="single" w:sz="4" w:space="0" w:color="000000" w:themeColor="text1"/>
              <w:left w:val="single" w:sz="4" w:space="0" w:color="000000"/>
              <w:bottom w:val="single" w:sz="4" w:space="0" w:color="000000" w:themeColor="text1"/>
              <w:right w:val="single" w:sz="4" w:space="0" w:color="000000"/>
            </w:tcBorders>
            <w:vAlign w:val="center"/>
          </w:tcPr>
          <w:p w14:paraId="1C687EB2" w14:textId="77777777" w:rsidR="00130C9E" w:rsidRPr="00EF11F7" w:rsidRDefault="00130C9E" w:rsidP="00FF6831">
            <w:pPr>
              <w:spacing w:before="60" w:after="60"/>
              <w:jc w:val="center"/>
              <w:rPr>
                <w:rFonts w:eastAsiaTheme="majorEastAsia"/>
                <w:bCs/>
                <w:color w:val="000000" w:themeColor="text1"/>
                <w:sz w:val="16"/>
              </w:rPr>
            </w:pPr>
          </w:p>
        </w:tc>
      </w:tr>
      <w:tr w:rsidR="00130C9E" w:rsidRPr="00EF11F7" w14:paraId="00F6A121" w14:textId="77777777" w:rsidTr="00FF6831">
        <w:tc>
          <w:tcPr>
            <w:tcW w:w="446" w:type="pct"/>
            <w:tcBorders>
              <w:top w:val="single" w:sz="4" w:space="0" w:color="000000" w:themeColor="text1"/>
              <w:left w:val="single" w:sz="4" w:space="0" w:color="000000"/>
              <w:bottom w:val="single" w:sz="4" w:space="0" w:color="000000" w:themeColor="text1"/>
              <w:right w:val="single" w:sz="4" w:space="0" w:color="000000"/>
            </w:tcBorders>
            <w:vAlign w:val="center"/>
          </w:tcPr>
          <w:p w14:paraId="46E776C8" w14:textId="77777777" w:rsidR="00130C9E" w:rsidRPr="00EF11F7" w:rsidRDefault="00130C9E" w:rsidP="00FF6831">
            <w:pPr>
              <w:spacing w:before="60" w:after="60"/>
              <w:jc w:val="center"/>
              <w:rPr>
                <w:rFonts w:eastAsiaTheme="majorEastAsia"/>
                <w:color w:val="000000" w:themeColor="text1"/>
                <w:sz w:val="16"/>
              </w:rPr>
            </w:pPr>
            <w:r w:rsidRPr="00EF11F7">
              <w:rPr>
                <w:rFonts w:eastAsiaTheme="majorEastAsia"/>
                <w:color w:val="000000" w:themeColor="text1"/>
                <w:sz w:val="16"/>
              </w:rPr>
              <w:t>1</w:t>
            </w:r>
            <w:r>
              <w:rPr>
                <w:rFonts w:eastAsiaTheme="majorEastAsia"/>
                <w:color w:val="000000" w:themeColor="text1"/>
                <w:sz w:val="16"/>
              </w:rPr>
              <w:t>99</w:t>
            </w:r>
          </w:p>
        </w:tc>
        <w:tc>
          <w:tcPr>
            <w:tcW w:w="622" w:type="pct"/>
            <w:tcBorders>
              <w:top w:val="single" w:sz="4" w:space="0" w:color="000000" w:themeColor="text1"/>
              <w:left w:val="single" w:sz="4" w:space="0" w:color="000000"/>
              <w:bottom w:val="single" w:sz="4" w:space="0" w:color="000000" w:themeColor="text1"/>
              <w:right w:val="single" w:sz="4" w:space="0" w:color="000000"/>
            </w:tcBorders>
          </w:tcPr>
          <w:p w14:paraId="38C4BF7B" w14:textId="77777777" w:rsidR="00130C9E" w:rsidRPr="00EF11F7" w:rsidRDefault="00130C9E" w:rsidP="00FF6831">
            <w:pPr>
              <w:spacing w:before="60" w:after="60"/>
              <w:jc w:val="center"/>
              <w:rPr>
                <w:color w:val="000000" w:themeColor="text1"/>
                <w:sz w:val="16"/>
                <w:szCs w:val="15"/>
              </w:rPr>
            </w:pPr>
            <w:r>
              <w:rPr>
                <w:color w:val="000000" w:themeColor="text1"/>
                <w:sz w:val="16"/>
                <w:szCs w:val="15"/>
              </w:rPr>
              <w:t>-</w:t>
            </w:r>
          </w:p>
        </w:tc>
        <w:tc>
          <w:tcPr>
            <w:tcW w:w="696" w:type="pct"/>
            <w:tcBorders>
              <w:top w:val="single" w:sz="4" w:space="0" w:color="000000" w:themeColor="text1"/>
              <w:left w:val="single" w:sz="4" w:space="0" w:color="000000"/>
              <w:bottom w:val="single" w:sz="4" w:space="0" w:color="000000" w:themeColor="text1"/>
              <w:right w:val="single" w:sz="4" w:space="0" w:color="000000"/>
            </w:tcBorders>
          </w:tcPr>
          <w:p w14:paraId="6EF2AFF1" w14:textId="77777777" w:rsidR="00130C9E" w:rsidRPr="00EF11F7" w:rsidRDefault="00130C9E" w:rsidP="00FF6831">
            <w:pPr>
              <w:spacing w:before="60" w:after="60"/>
              <w:jc w:val="center"/>
              <w:rPr>
                <w:rFonts w:eastAsia="Times New Roman"/>
                <w:color w:val="000000" w:themeColor="text1"/>
                <w:sz w:val="16"/>
                <w:szCs w:val="15"/>
              </w:rPr>
            </w:pPr>
            <w:r>
              <w:rPr>
                <w:rFonts w:eastAsia="Times New Roman"/>
                <w:color w:val="000000" w:themeColor="text1"/>
                <w:sz w:val="16"/>
                <w:szCs w:val="15"/>
              </w:rPr>
              <w:t>-</w:t>
            </w:r>
          </w:p>
        </w:tc>
        <w:tc>
          <w:tcPr>
            <w:tcW w:w="2484" w:type="pct"/>
            <w:tcBorders>
              <w:top w:val="single" w:sz="4" w:space="0" w:color="000000" w:themeColor="text1"/>
              <w:left w:val="single" w:sz="4" w:space="0" w:color="000000"/>
              <w:bottom w:val="single" w:sz="4" w:space="0" w:color="000000" w:themeColor="text1"/>
              <w:right w:val="single" w:sz="4" w:space="0" w:color="000000"/>
            </w:tcBorders>
          </w:tcPr>
          <w:p w14:paraId="6F549DB8" w14:textId="77777777" w:rsidR="00130C9E" w:rsidRPr="00197B7F" w:rsidRDefault="00130C9E" w:rsidP="00FF6831">
            <w:pPr>
              <w:spacing w:before="60" w:after="60"/>
              <w:jc w:val="center"/>
              <w:rPr>
                <w:rFonts w:eastAsia="Times New Roman"/>
                <w:color w:val="000000" w:themeColor="text1"/>
                <w:sz w:val="16"/>
                <w:szCs w:val="15"/>
              </w:rPr>
            </w:pPr>
            <w:proofErr w:type="gramStart"/>
            <w:r w:rsidRPr="00DB0517">
              <w:rPr>
                <w:rFonts w:eastAsia="Times New Roman"/>
                <w:sz w:val="16"/>
                <w:szCs w:val="15"/>
              </w:rPr>
              <w:t>Tris(</w:t>
            </w:r>
            <w:proofErr w:type="gramEnd"/>
            <w:r w:rsidRPr="00DB0517">
              <w:rPr>
                <w:rFonts w:eastAsia="Times New Roman"/>
                <w:sz w:val="16"/>
                <w:szCs w:val="15"/>
              </w:rPr>
              <w:t xml:space="preserve">4-nonylphenyl, branched and linear) </w:t>
            </w:r>
            <w:proofErr w:type="spellStart"/>
            <w:r w:rsidRPr="00DB0517">
              <w:rPr>
                <w:rFonts w:eastAsia="Times New Roman"/>
                <w:sz w:val="16"/>
                <w:szCs w:val="15"/>
              </w:rPr>
              <w:t>phosphite</w:t>
            </w:r>
            <w:proofErr w:type="spellEnd"/>
            <w:r w:rsidRPr="00DB0517">
              <w:rPr>
                <w:rFonts w:eastAsia="Times New Roman"/>
                <w:sz w:val="16"/>
                <w:szCs w:val="15"/>
              </w:rPr>
              <w:t xml:space="preserve"> (TNPP) with ≥ 0.1% w/w of 4-nonylphenol, branched and linear (4-NP)</w:t>
            </w:r>
          </w:p>
        </w:tc>
        <w:tc>
          <w:tcPr>
            <w:tcW w:w="752" w:type="pct"/>
            <w:tcBorders>
              <w:top w:val="single" w:sz="4" w:space="0" w:color="000000" w:themeColor="text1"/>
              <w:left w:val="single" w:sz="4" w:space="0" w:color="000000"/>
              <w:bottom w:val="single" w:sz="4" w:space="0" w:color="000000" w:themeColor="text1"/>
              <w:right w:val="single" w:sz="4" w:space="0" w:color="000000"/>
            </w:tcBorders>
            <w:vAlign w:val="center"/>
          </w:tcPr>
          <w:p w14:paraId="1C338EB6" w14:textId="77777777" w:rsidR="00130C9E" w:rsidRPr="00EF11F7" w:rsidRDefault="00130C9E" w:rsidP="00FF6831">
            <w:pPr>
              <w:spacing w:before="60" w:after="60"/>
              <w:jc w:val="center"/>
              <w:rPr>
                <w:rFonts w:eastAsiaTheme="majorEastAsia"/>
                <w:bCs/>
                <w:color w:val="000000" w:themeColor="text1"/>
                <w:sz w:val="16"/>
              </w:rPr>
            </w:pPr>
          </w:p>
        </w:tc>
      </w:tr>
      <w:tr w:rsidR="00130C9E" w:rsidRPr="00EF11F7" w14:paraId="0DC8992B" w14:textId="77777777" w:rsidTr="00FF6831">
        <w:tc>
          <w:tcPr>
            <w:tcW w:w="446" w:type="pct"/>
            <w:tcBorders>
              <w:top w:val="single" w:sz="4" w:space="0" w:color="000000" w:themeColor="text1"/>
              <w:left w:val="single" w:sz="4" w:space="0" w:color="000000"/>
              <w:bottom w:val="single" w:sz="4" w:space="0" w:color="000000" w:themeColor="text1"/>
              <w:right w:val="single" w:sz="4" w:space="0" w:color="000000"/>
            </w:tcBorders>
            <w:vAlign w:val="center"/>
          </w:tcPr>
          <w:p w14:paraId="10902DA2" w14:textId="77777777" w:rsidR="00130C9E" w:rsidRPr="00EF11F7" w:rsidRDefault="00130C9E" w:rsidP="00FF6831">
            <w:pPr>
              <w:spacing w:before="60" w:after="60"/>
              <w:jc w:val="center"/>
              <w:rPr>
                <w:rFonts w:eastAsiaTheme="majorEastAsia"/>
                <w:color w:val="000000" w:themeColor="text1"/>
                <w:sz w:val="16"/>
              </w:rPr>
            </w:pPr>
            <w:r>
              <w:rPr>
                <w:rFonts w:eastAsiaTheme="majorEastAsia"/>
                <w:color w:val="000000" w:themeColor="text1"/>
                <w:sz w:val="16"/>
              </w:rPr>
              <w:t>200</w:t>
            </w:r>
          </w:p>
        </w:tc>
        <w:tc>
          <w:tcPr>
            <w:tcW w:w="622" w:type="pct"/>
            <w:tcBorders>
              <w:top w:val="single" w:sz="4" w:space="0" w:color="000000" w:themeColor="text1"/>
              <w:left w:val="single" w:sz="4" w:space="0" w:color="000000"/>
              <w:bottom w:val="single" w:sz="4" w:space="0" w:color="000000" w:themeColor="text1"/>
              <w:right w:val="single" w:sz="4" w:space="0" w:color="000000"/>
            </w:tcBorders>
          </w:tcPr>
          <w:p w14:paraId="06334DA3" w14:textId="77777777" w:rsidR="00130C9E" w:rsidRPr="00EF11F7" w:rsidRDefault="00130C9E" w:rsidP="00FF6831">
            <w:pPr>
              <w:spacing w:before="60" w:after="60"/>
              <w:jc w:val="center"/>
              <w:rPr>
                <w:color w:val="000000" w:themeColor="text1"/>
                <w:sz w:val="16"/>
                <w:szCs w:val="15"/>
              </w:rPr>
            </w:pPr>
            <w:r>
              <w:rPr>
                <w:color w:val="000000" w:themeColor="text1"/>
                <w:sz w:val="16"/>
                <w:szCs w:val="15"/>
              </w:rPr>
              <w:t>-</w:t>
            </w:r>
          </w:p>
        </w:tc>
        <w:tc>
          <w:tcPr>
            <w:tcW w:w="696" w:type="pct"/>
            <w:tcBorders>
              <w:top w:val="single" w:sz="4" w:space="0" w:color="000000" w:themeColor="text1"/>
              <w:left w:val="single" w:sz="4" w:space="0" w:color="000000"/>
              <w:bottom w:val="single" w:sz="4" w:space="0" w:color="000000" w:themeColor="text1"/>
              <w:right w:val="single" w:sz="4" w:space="0" w:color="000000"/>
            </w:tcBorders>
          </w:tcPr>
          <w:p w14:paraId="79362484" w14:textId="77777777" w:rsidR="00130C9E" w:rsidRPr="00EF11F7" w:rsidRDefault="00130C9E" w:rsidP="00FF6831">
            <w:pPr>
              <w:spacing w:before="60" w:after="60"/>
              <w:jc w:val="center"/>
              <w:rPr>
                <w:rFonts w:eastAsia="Times New Roman"/>
                <w:color w:val="000000" w:themeColor="text1"/>
                <w:sz w:val="16"/>
                <w:szCs w:val="15"/>
              </w:rPr>
            </w:pPr>
            <w:r>
              <w:rPr>
                <w:rFonts w:eastAsia="Times New Roman"/>
                <w:color w:val="000000" w:themeColor="text1"/>
                <w:sz w:val="16"/>
                <w:szCs w:val="15"/>
              </w:rPr>
              <w:t>-</w:t>
            </w:r>
          </w:p>
        </w:tc>
        <w:tc>
          <w:tcPr>
            <w:tcW w:w="2484" w:type="pct"/>
            <w:tcBorders>
              <w:top w:val="single" w:sz="4" w:space="0" w:color="000000" w:themeColor="text1"/>
              <w:left w:val="single" w:sz="4" w:space="0" w:color="000000"/>
              <w:bottom w:val="single" w:sz="4" w:space="0" w:color="000000" w:themeColor="text1"/>
              <w:right w:val="single" w:sz="4" w:space="0" w:color="000000"/>
            </w:tcBorders>
          </w:tcPr>
          <w:p w14:paraId="2D23CA49" w14:textId="77777777" w:rsidR="00130C9E" w:rsidRPr="00197B7F" w:rsidRDefault="00130C9E" w:rsidP="00FF6831">
            <w:pPr>
              <w:spacing w:before="60" w:after="60"/>
              <w:jc w:val="center"/>
              <w:rPr>
                <w:rFonts w:eastAsia="Times New Roman"/>
                <w:color w:val="000000" w:themeColor="text1"/>
                <w:sz w:val="16"/>
                <w:szCs w:val="15"/>
              </w:rPr>
            </w:pPr>
            <w:r w:rsidRPr="00DB0517">
              <w:rPr>
                <w:rFonts w:eastAsia="Times New Roman"/>
                <w:sz w:val="16"/>
                <w:szCs w:val="15"/>
              </w:rPr>
              <w:t>2,3,3,3-tetrafluoro-2-(</w:t>
            </w:r>
            <w:proofErr w:type="spellStart"/>
            <w:r w:rsidRPr="00DB0517">
              <w:rPr>
                <w:rFonts w:eastAsia="Times New Roman"/>
                <w:sz w:val="16"/>
                <w:szCs w:val="15"/>
              </w:rPr>
              <w:t>heptafluoropropoxy</w:t>
            </w:r>
            <w:proofErr w:type="spellEnd"/>
            <w:r w:rsidRPr="00DB0517">
              <w:rPr>
                <w:rFonts w:eastAsia="Times New Roman"/>
                <w:sz w:val="16"/>
                <w:szCs w:val="15"/>
              </w:rPr>
              <w:t>)propionic acid, its salts and its acyl halides (covering any of their individual isomers and combinations thereof)</w:t>
            </w:r>
          </w:p>
        </w:tc>
        <w:tc>
          <w:tcPr>
            <w:tcW w:w="752" w:type="pct"/>
            <w:tcBorders>
              <w:top w:val="single" w:sz="4" w:space="0" w:color="000000" w:themeColor="text1"/>
              <w:left w:val="single" w:sz="4" w:space="0" w:color="000000"/>
              <w:bottom w:val="single" w:sz="4" w:space="0" w:color="000000" w:themeColor="text1"/>
              <w:right w:val="single" w:sz="4" w:space="0" w:color="000000"/>
            </w:tcBorders>
            <w:vAlign w:val="center"/>
          </w:tcPr>
          <w:p w14:paraId="51142B29" w14:textId="77777777" w:rsidR="00130C9E" w:rsidRPr="00EF11F7" w:rsidRDefault="00130C9E" w:rsidP="00FF6831">
            <w:pPr>
              <w:spacing w:before="60" w:after="60"/>
              <w:jc w:val="center"/>
              <w:rPr>
                <w:rFonts w:eastAsiaTheme="majorEastAsia"/>
                <w:bCs/>
                <w:color w:val="000000" w:themeColor="text1"/>
                <w:sz w:val="16"/>
              </w:rPr>
            </w:pPr>
          </w:p>
        </w:tc>
      </w:tr>
      <w:tr w:rsidR="00130C9E" w:rsidRPr="00EF11F7" w14:paraId="734D662E" w14:textId="77777777" w:rsidTr="00FF6831">
        <w:tc>
          <w:tcPr>
            <w:tcW w:w="446" w:type="pct"/>
            <w:tcBorders>
              <w:top w:val="single" w:sz="4" w:space="0" w:color="000000" w:themeColor="text1"/>
              <w:left w:val="single" w:sz="4" w:space="0" w:color="000000"/>
              <w:bottom w:val="single" w:sz="4" w:space="0" w:color="000000" w:themeColor="text1"/>
              <w:right w:val="single" w:sz="4" w:space="0" w:color="000000"/>
            </w:tcBorders>
            <w:vAlign w:val="center"/>
          </w:tcPr>
          <w:p w14:paraId="63A8AEDB" w14:textId="77777777" w:rsidR="00130C9E" w:rsidRPr="00EF11F7" w:rsidRDefault="00130C9E" w:rsidP="00FF6831">
            <w:pPr>
              <w:spacing w:before="60" w:after="60"/>
              <w:jc w:val="center"/>
              <w:rPr>
                <w:rFonts w:eastAsiaTheme="majorEastAsia"/>
                <w:color w:val="000000" w:themeColor="text1"/>
                <w:sz w:val="16"/>
              </w:rPr>
            </w:pPr>
            <w:r>
              <w:rPr>
                <w:rFonts w:eastAsiaTheme="majorEastAsia"/>
                <w:color w:val="000000" w:themeColor="text1"/>
                <w:sz w:val="16"/>
              </w:rPr>
              <w:t>201</w:t>
            </w:r>
          </w:p>
        </w:tc>
        <w:tc>
          <w:tcPr>
            <w:tcW w:w="622" w:type="pct"/>
            <w:tcBorders>
              <w:top w:val="single" w:sz="4" w:space="0" w:color="000000" w:themeColor="text1"/>
              <w:left w:val="single" w:sz="4" w:space="0" w:color="000000"/>
              <w:bottom w:val="single" w:sz="4" w:space="0" w:color="000000" w:themeColor="text1"/>
              <w:right w:val="single" w:sz="4" w:space="0" w:color="000000"/>
            </w:tcBorders>
          </w:tcPr>
          <w:p w14:paraId="5948F627" w14:textId="77777777" w:rsidR="00130C9E" w:rsidRPr="00EF11F7" w:rsidRDefault="00130C9E" w:rsidP="00FF6831">
            <w:pPr>
              <w:spacing w:before="60" w:after="60"/>
              <w:jc w:val="center"/>
              <w:rPr>
                <w:color w:val="000000" w:themeColor="text1"/>
                <w:sz w:val="16"/>
                <w:szCs w:val="15"/>
              </w:rPr>
            </w:pPr>
            <w:r>
              <w:rPr>
                <w:color w:val="000000" w:themeColor="text1"/>
                <w:sz w:val="16"/>
                <w:szCs w:val="15"/>
              </w:rPr>
              <w:t>202-679-0</w:t>
            </w:r>
          </w:p>
        </w:tc>
        <w:tc>
          <w:tcPr>
            <w:tcW w:w="696" w:type="pct"/>
            <w:tcBorders>
              <w:top w:val="single" w:sz="4" w:space="0" w:color="000000" w:themeColor="text1"/>
              <w:left w:val="single" w:sz="4" w:space="0" w:color="000000"/>
              <w:bottom w:val="single" w:sz="4" w:space="0" w:color="000000" w:themeColor="text1"/>
              <w:right w:val="single" w:sz="4" w:space="0" w:color="000000"/>
            </w:tcBorders>
          </w:tcPr>
          <w:p w14:paraId="5F1813E7" w14:textId="77777777" w:rsidR="00130C9E" w:rsidRPr="00EF11F7" w:rsidRDefault="00130C9E" w:rsidP="00FF6831">
            <w:pPr>
              <w:spacing w:before="60" w:after="60"/>
              <w:jc w:val="center"/>
              <w:rPr>
                <w:rFonts w:eastAsia="Times New Roman"/>
                <w:color w:val="000000" w:themeColor="text1"/>
                <w:sz w:val="16"/>
                <w:szCs w:val="15"/>
              </w:rPr>
            </w:pPr>
            <w:r>
              <w:rPr>
                <w:rFonts w:eastAsia="Times New Roman"/>
                <w:color w:val="000000" w:themeColor="text1"/>
                <w:sz w:val="16"/>
                <w:szCs w:val="15"/>
              </w:rPr>
              <w:t>98-54-4</w:t>
            </w:r>
          </w:p>
        </w:tc>
        <w:tc>
          <w:tcPr>
            <w:tcW w:w="2484" w:type="pct"/>
            <w:tcBorders>
              <w:top w:val="single" w:sz="4" w:space="0" w:color="000000" w:themeColor="text1"/>
              <w:left w:val="single" w:sz="4" w:space="0" w:color="000000"/>
              <w:bottom w:val="single" w:sz="4" w:space="0" w:color="000000" w:themeColor="text1"/>
              <w:right w:val="single" w:sz="4" w:space="0" w:color="000000"/>
            </w:tcBorders>
          </w:tcPr>
          <w:p w14:paraId="39C067AD" w14:textId="77777777" w:rsidR="00130C9E" w:rsidRPr="00197B7F" w:rsidRDefault="00130C9E" w:rsidP="00FF6831">
            <w:pPr>
              <w:spacing w:before="60" w:after="60"/>
              <w:jc w:val="center"/>
              <w:rPr>
                <w:rFonts w:eastAsia="Times New Roman"/>
                <w:color w:val="000000" w:themeColor="text1"/>
                <w:sz w:val="16"/>
                <w:szCs w:val="15"/>
              </w:rPr>
            </w:pPr>
            <w:r w:rsidRPr="00DB0517">
              <w:rPr>
                <w:rFonts w:eastAsia="Times New Roman"/>
                <w:sz w:val="16"/>
                <w:szCs w:val="15"/>
              </w:rPr>
              <w:t>4-tert-butylphenol</w:t>
            </w:r>
          </w:p>
        </w:tc>
        <w:tc>
          <w:tcPr>
            <w:tcW w:w="752" w:type="pct"/>
            <w:tcBorders>
              <w:top w:val="single" w:sz="4" w:space="0" w:color="000000" w:themeColor="text1"/>
              <w:left w:val="single" w:sz="4" w:space="0" w:color="000000"/>
              <w:bottom w:val="single" w:sz="4" w:space="0" w:color="000000" w:themeColor="text1"/>
              <w:right w:val="single" w:sz="4" w:space="0" w:color="000000"/>
            </w:tcBorders>
            <w:vAlign w:val="center"/>
          </w:tcPr>
          <w:p w14:paraId="25561AC3" w14:textId="77777777" w:rsidR="00130C9E" w:rsidRPr="00EF11F7" w:rsidRDefault="00130C9E" w:rsidP="00FF6831">
            <w:pPr>
              <w:spacing w:before="60" w:after="60"/>
              <w:jc w:val="center"/>
              <w:rPr>
                <w:rFonts w:eastAsiaTheme="majorEastAsia"/>
                <w:bCs/>
                <w:color w:val="000000" w:themeColor="text1"/>
                <w:sz w:val="16"/>
              </w:rPr>
            </w:pPr>
          </w:p>
        </w:tc>
      </w:tr>
    </w:tbl>
    <w:p w14:paraId="0E4F80F9" w14:textId="2F6E34B1" w:rsidR="00E346B5" w:rsidRPr="00130C9E" w:rsidRDefault="00130C9E" w:rsidP="00130C9E">
      <w:pPr>
        <w:pStyle w:val="HTMLPreformatted"/>
        <w:numPr>
          <w:ilvl w:val="0"/>
          <w:numId w:val="11"/>
        </w:numPr>
        <w:spacing w:line="360" w:lineRule="atLeast"/>
        <w:rPr>
          <w:rFonts w:ascii="Arial" w:hAnsi="Arial" w:cs="Arial"/>
          <w:color w:val="222222"/>
          <w:sz w:val="22"/>
          <w:szCs w:val="24"/>
        </w:rPr>
      </w:pPr>
      <w:r w:rsidRPr="00130C9E">
        <w:rPr>
          <w:rFonts w:ascii="Arial" w:hAnsi="Arial" w:cs="Arial"/>
          <w:color w:val="222222"/>
          <w:sz w:val="22"/>
          <w:szCs w:val="24"/>
          <w:lang w:val="de-DE"/>
        </w:rPr>
        <w:t>Die EU-Richtlinie (EU) 2015/863 „RoHS 3“ ist ab dem 22. Juli 2019 in Kraft. Sie fügt den RoHS-beschränkten Substanzen vier Phthalate hinzu.</w:t>
      </w:r>
    </w:p>
    <w:p w14:paraId="01C373FC" w14:textId="36661D2C" w:rsidR="00C26827" w:rsidRPr="00A71187" w:rsidRDefault="00991B50" w:rsidP="00E479F3">
      <w:pPr>
        <w:pStyle w:val="Heading1"/>
        <w:spacing w:after="240"/>
        <w:rPr>
          <w:rStyle w:val="Heading1Char"/>
          <w:rFonts w:ascii="Arial" w:hAnsi="Arial" w:cs="Arial"/>
          <w:b/>
          <w:bCs/>
        </w:rPr>
      </w:pPr>
      <w:bookmarkStart w:id="5" w:name="_Toc535403702"/>
      <w:r>
        <w:rPr>
          <w:rFonts w:ascii="Arial" w:hAnsi="Arial" w:cs="Arial"/>
          <w:szCs w:val="16"/>
        </w:rPr>
        <w:lastRenderedPageBreak/>
        <w:t xml:space="preserve">4. </w:t>
      </w:r>
      <w:bookmarkEnd w:id="4"/>
      <w:proofErr w:type="spellStart"/>
      <w:r w:rsidR="0005787A">
        <w:rPr>
          <w:rFonts w:ascii="Arial" w:hAnsi="Arial" w:cs="Arial"/>
        </w:rPr>
        <w:t>Anweisungen</w:t>
      </w:r>
      <w:proofErr w:type="spellEnd"/>
      <w:r w:rsidR="0005787A">
        <w:rPr>
          <w:rFonts w:ascii="Arial" w:hAnsi="Arial" w:cs="Arial"/>
        </w:rPr>
        <w:t xml:space="preserve"> </w:t>
      </w:r>
      <w:proofErr w:type="spellStart"/>
      <w:r w:rsidR="0005787A">
        <w:rPr>
          <w:rFonts w:ascii="Arial" w:hAnsi="Arial" w:cs="Arial"/>
        </w:rPr>
        <w:t>für</w:t>
      </w:r>
      <w:proofErr w:type="spellEnd"/>
      <w:r w:rsidR="0005787A">
        <w:rPr>
          <w:rFonts w:ascii="Arial" w:hAnsi="Arial" w:cs="Arial"/>
        </w:rPr>
        <w:t xml:space="preserve"> </w:t>
      </w:r>
      <w:proofErr w:type="spellStart"/>
      <w:r w:rsidR="0005787A">
        <w:rPr>
          <w:rFonts w:ascii="Arial" w:hAnsi="Arial" w:cs="Arial"/>
        </w:rPr>
        <w:t>Arbeitsblatt</w:t>
      </w:r>
      <w:proofErr w:type="spellEnd"/>
      <w:r w:rsidR="0005787A">
        <w:rPr>
          <w:rFonts w:ascii="Arial" w:hAnsi="Arial" w:cs="Arial"/>
        </w:rPr>
        <w:t xml:space="preserve"> </w:t>
      </w:r>
      <w:proofErr w:type="spellStart"/>
      <w:r w:rsidR="0005787A">
        <w:rPr>
          <w:rFonts w:ascii="Arial" w:hAnsi="Arial" w:cs="Arial"/>
        </w:rPr>
        <w:t>Stoffangaben</w:t>
      </w:r>
      <w:bookmarkEnd w:id="5"/>
      <w:proofErr w:type="spellEnd"/>
    </w:p>
    <w:p w14:paraId="606460A4" w14:textId="77777777" w:rsidR="00A25A2C" w:rsidRPr="00BB11FA" w:rsidRDefault="00A25A2C" w:rsidP="00A25A2C">
      <w:pPr>
        <w:pStyle w:val="BodyText"/>
        <w:spacing w:after="240" w:line="280" w:lineRule="auto"/>
        <w:jc w:val="left"/>
        <w:rPr>
          <w:rFonts w:ascii="Arial" w:eastAsia="Times New Roman" w:hAnsi="Arial"/>
          <w:szCs w:val="24"/>
        </w:rPr>
      </w:pPr>
      <w:r>
        <w:rPr>
          <w:rFonts w:ascii="Arial" w:hAnsi="Arial"/>
          <w:szCs w:val="24"/>
        </w:rPr>
        <w:t xml:space="preserve">Das </w:t>
      </w:r>
      <w:proofErr w:type="spellStart"/>
      <w:r>
        <w:rPr>
          <w:rFonts w:ascii="Arial" w:hAnsi="Arial"/>
          <w:szCs w:val="24"/>
        </w:rPr>
        <w:t>Arbeitsblatt</w:t>
      </w:r>
      <w:proofErr w:type="spellEnd"/>
      <w:r>
        <w:rPr>
          <w:rFonts w:ascii="Arial" w:hAnsi="Arial"/>
          <w:szCs w:val="24"/>
        </w:rPr>
        <w:t xml:space="preserve"> </w:t>
      </w:r>
      <w:proofErr w:type="spellStart"/>
      <w:r>
        <w:rPr>
          <w:rFonts w:ascii="Arial" w:hAnsi="Arial"/>
          <w:szCs w:val="24"/>
        </w:rPr>
        <w:t>Stoffangaben</w:t>
      </w:r>
      <w:proofErr w:type="spellEnd"/>
      <w:r>
        <w:rPr>
          <w:rFonts w:ascii="Arial" w:hAnsi="Arial"/>
          <w:szCs w:val="24"/>
        </w:rPr>
        <w:t xml:space="preserve"> </w:t>
      </w:r>
      <w:proofErr w:type="spellStart"/>
      <w:r>
        <w:rPr>
          <w:rFonts w:ascii="Arial" w:hAnsi="Arial"/>
          <w:szCs w:val="24"/>
        </w:rPr>
        <w:t>unterstützt</w:t>
      </w:r>
      <w:proofErr w:type="spellEnd"/>
      <w:r>
        <w:rPr>
          <w:rFonts w:ascii="Arial" w:hAnsi="Arial"/>
          <w:szCs w:val="24"/>
        </w:rPr>
        <w:t xml:space="preserve"> </w:t>
      </w:r>
      <w:proofErr w:type="spellStart"/>
      <w:r>
        <w:rPr>
          <w:rFonts w:ascii="Arial" w:hAnsi="Arial"/>
          <w:szCs w:val="24"/>
        </w:rPr>
        <w:t>Lieferanten</w:t>
      </w:r>
      <w:proofErr w:type="spellEnd"/>
      <w:r>
        <w:rPr>
          <w:rFonts w:ascii="Arial" w:hAnsi="Arial"/>
          <w:szCs w:val="24"/>
        </w:rPr>
        <w:t xml:space="preserve"> </w:t>
      </w:r>
      <w:proofErr w:type="spellStart"/>
      <w:r>
        <w:rPr>
          <w:rFonts w:ascii="Arial" w:hAnsi="Arial"/>
          <w:szCs w:val="24"/>
        </w:rPr>
        <w:t>dabei</w:t>
      </w:r>
      <w:proofErr w:type="spellEnd"/>
      <w:r>
        <w:rPr>
          <w:rFonts w:ascii="Arial" w:hAnsi="Arial"/>
          <w:szCs w:val="24"/>
        </w:rPr>
        <w:t xml:space="preserve">, die </w:t>
      </w:r>
      <w:proofErr w:type="spellStart"/>
      <w:r>
        <w:rPr>
          <w:rFonts w:ascii="Arial" w:hAnsi="Arial"/>
          <w:szCs w:val="24"/>
        </w:rPr>
        <w:t>erforderlichen</w:t>
      </w:r>
      <w:proofErr w:type="spellEnd"/>
      <w:r>
        <w:rPr>
          <w:rFonts w:ascii="Arial" w:hAnsi="Arial"/>
          <w:szCs w:val="24"/>
        </w:rPr>
        <w:t xml:space="preserve"> GPCSE-</w:t>
      </w:r>
      <w:proofErr w:type="spellStart"/>
      <w:r>
        <w:rPr>
          <w:rFonts w:ascii="Arial" w:hAnsi="Arial"/>
          <w:szCs w:val="24"/>
        </w:rPr>
        <w:t>Angaben</w:t>
      </w:r>
      <w:proofErr w:type="spellEnd"/>
      <w:r>
        <w:rPr>
          <w:rFonts w:ascii="Arial" w:hAnsi="Arial"/>
          <w:szCs w:val="24"/>
        </w:rPr>
        <w:t xml:space="preserve"> </w:t>
      </w:r>
      <w:proofErr w:type="spellStart"/>
      <w:r>
        <w:rPr>
          <w:rFonts w:ascii="Arial" w:hAnsi="Arial"/>
          <w:szCs w:val="24"/>
        </w:rPr>
        <w:t>zu</w:t>
      </w:r>
      <w:proofErr w:type="spellEnd"/>
      <w:r>
        <w:rPr>
          <w:rFonts w:ascii="Arial" w:hAnsi="Arial"/>
          <w:szCs w:val="24"/>
        </w:rPr>
        <w:t xml:space="preserve"> </w:t>
      </w:r>
      <w:proofErr w:type="spellStart"/>
      <w:r>
        <w:rPr>
          <w:rFonts w:ascii="Arial" w:hAnsi="Arial"/>
          <w:szCs w:val="24"/>
        </w:rPr>
        <w:t>machen</w:t>
      </w:r>
      <w:proofErr w:type="spellEnd"/>
      <w:r>
        <w:rPr>
          <w:rFonts w:ascii="Arial" w:hAnsi="Arial"/>
          <w:szCs w:val="24"/>
        </w:rPr>
        <w:t xml:space="preserve">. </w:t>
      </w:r>
      <w:proofErr w:type="spellStart"/>
      <w:r>
        <w:rPr>
          <w:rFonts w:ascii="Arial" w:hAnsi="Arial"/>
          <w:szCs w:val="24"/>
        </w:rPr>
        <w:t>Bitte</w:t>
      </w:r>
      <w:proofErr w:type="spellEnd"/>
      <w:r>
        <w:rPr>
          <w:rFonts w:ascii="Arial" w:hAnsi="Arial"/>
          <w:szCs w:val="24"/>
        </w:rPr>
        <w:t xml:space="preserve"> </w:t>
      </w:r>
      <w:proofErr w:type="spellStart"/>
      <w:r>
        <w:rPr>
          <w:rFonts w:ascii="Arial" w:hAnsi="Arial"/>
          <w:szCs w:val="24"/>
        </w:rPr>
        <w:t>drücken</w:t>
      </w:r>
      <w:proofErr w:type="spellEnd"/>
      <w:r>
        <w:rPr>
          <w:rFonts w:ascii="Arial" w:hAnsi="Arial"/>
          <w:szCs w:val="24"/>
        </w:rPr>
        <w:t xml:space="preserve"> Sie </w:t>
      </w:r>
      <w:proofErr w:type="spellStart"/>
      <w:r>
        <w:rPr>
          <w:rFonts w:ascii="Arial" w:hAnsi="Arial"/>
          <w:szCs w:val="24"/>
        </w:rPr>
        <w:t>sich</w:t>
      </w:r>
      <w:proofErr w:type="spellEnd"/>
      <w:r>
        <w:rPr>
          <w:rFonts w:ascii="Arial" w:hAnsi="Arial"/>
          <w:szCs w:val="24"/>
        </w:rPr>
        <w:t xml:space="preserve"> </w:t>
      </w:r>
      <w:proofErr w:type="spellStart"/>
      <w:r>
        <w:rPr>
          <w:rFonts w:ascii="Arial" w:hAnsi="Arial"/>
          <w:szCs w:val="24"/>
        </w:rPr>
        <w:t>beim</w:t>
      </w:r>
      <w:proofErr w:type="spellEnd"/>
      <w:r>
        <w:rPr>
          <w:rFonts w:ascii="Arial" w:hAnsi="Arial"/>
          <w:szCs w:val="24"/>
        </w:rPr>
        <w:t xml:space="preserve"> </w:t>
      </w:r>
      <w:proofErr w:type="spellStart"/>
      <w:r>
        <w:rPr>
          <w:rFonts w:ascii="Arial" w:hAnsi="Arial"/>
          <w:szCs w:val="24"/>
        </w:rPr>
        <w:t>Eintragen</w:t>
      </w:r>
      <w:proofErr w:type="spellEnd"/>
      <w:r>
        <w:rPr>
          <w:rFonts w:ascii="Arial" w:hAnsi="Arial"/>
          <w:szCs w:val="24"/>
        </w:rPr>
        <w:t xml:space="preserve"> </w:t>
      </w:r>
      <w:proofErr w:type="spellStart"/>
      <w:r>
        <w:rPr>
          <w:rFonts w:ascii="Arial" w:hAnsi="Arial"/>
          <w:szCs w:val="24"/>
        </w:rPr>
        <w:t>knapp</w:t>
      </w:r>
      <w:proofErr w:type="spellEnd"/>
      <w:r>
        <w:rPr>
          <w:rFonts w:ascii="Arial" w:hAnsi="Arial"/>
          <w:szCs w:val="24"/>
        </w:rPr>
        <w:t xml:space="preserve"> und </w:t>
      </w:r>
      <w:proofErr w:type="spellStart"/>
      <w:r>
        <w:rPr>
          <w:rFonts w:ascii="Arial" w:hAnsi="Arial"/>
          <w:szCs w:val="24"/>
        </w:rPr>
        <w:t>präzise</w:t>
      </w:r>
      <w:proofErr w:type="spellEnd"/>
      <w:r>
        <w:rPr>
          <w:rFonts w:ascii="Arial" w:hAnsi="Arial"/>
          <w:szCs w:val="24"/>
        </w:rPr>
        <w:t xml:space="preserve"> </w:t>
      </w:r>
      <w:proofErr w:type="spellStart"/>
      <w:r>
        <w:rPr>
          <w:rFonts w:ascii="Arial" w:hAnsi="Arial"/>
          <w:szCs w:val="24"/>
        </w:rPr>
        <w:t>aus.</w:t>
      </w:r>
      <w:proofErr w:type="spellEnd"/>
      <w:r>
        <w:rPr>
          <w:rFonts w:ascii="Arial" w:hAnsi="Arial"/>
          <w:szCs w:val="24"/>
        </w:rPr>
        <w:t xml:space="preserve"> </w:t>
      </w:r>
      <w:r>
        <w:rPr>
          <w:rFonts w:ascii="Arial" w:eastAsia="Times New Roman" w:hAnsi="Arial"/>
          <w:szCs w:val="24"/>
        </w:rPr>
        <w:t xml:space="preserve">Es </w:t>
      </w:r>
      <w:proofErr w:type="spellStart"/>
      <w:r>
        <w:rPr>
          <w:rFonts w:ascii="Arial" w:eastAsia="Times New Roman" w:hAnsi="Arial"/>
          <w:szCs w:val="24"/>
        </w:rPr>
        <w:t>können</w:t>
      </w:r>
      <w:proofErr w:type="spellEnd"/>
      <w:r>
        <w:rPr>
          <w:rFonts w:ascii="Arial" w:eastAsia="Times New Roman" w:hAnsi="Arial"/>
          <w:szCs w:val="24"/>
        </w:rPr>
        <w:t xml:space="preserve"> alternative </w:t>
      </w:r>
      <w:proofErr w:type="spellStart"/>
      <w:r>
        <w:rPr>
          <w:rFonts w:ascii="Arial" w:eastAsia="Times New Roman" w:hAnsi="Arial"/>
          <w:szCs w:val="24"/>
        </w:rPr>
        <w:t>Arbeitsblätter</w:t>
      </w:r>
      <w:proofErr w:type="spellEnd"/>
      <w:r>
        <w:rPr>
          <w:rFonts w:ascii="Arial" w:eastAsia="Times New Roman" w:hAnsi="Arial"/>
          <w:szCs w:val="24"/>
        </w:rPr>
        <w:t xml:space="preserve"> </w:t>
      </w:r>
      <w:proofErr w:type="spellStart"/>
      <w:r>
        <w:rPr>
          <w:rFonts w:ascii="Arial" w:eastAsia="Times New Roman" w:hAnsi="Arial"/>
          <w:szCs w:val="24"/>
        </w:rPr>
        <w:t>verwendet</w:t>
      </w:r>
      <w:proofErr w:type="spellEnd"/>
      <w:r>
        <w:rPr>
          <w:rFonts w:ascii="Arial" w:eastAsia="Times New Roman" w:hAnsi="Arial"/>
          <w:szCs w:val="24"/>
        </w:rPr>
        <w:t xml:space="preserve"> </w:t>
      </w:r>
      <w:proofErr w:type="spellStart"/>
      <w:r>
        <w:rPr>
          <w:rFonts w:ascii="Arial" w:eastAsia="Times New Roman" w:hAnsi="Arial"/>
          <w:szCs w:val="24"/>
        </w:rPr>
        <w:t>werden</w:t>
      </w:r>
      <w:proofErr w:type="spellEnd"/>
      <w:r>
        <w:rPr>
          <w:rFonts w:ascii="Arial" w:eastAsia="Times New Roman" w:hAnsi="Arial"/>
          <w:szCs w:val="24"/>
        </w:rPr>
        <w:t xml:space="preserve">, </w:t>
      </w:r>
      <w:proofErr w:type="spellStart"/>
      <w:r>
        <w:rPr>
          <w:rFonts w:ascii="Arial" w:eastAsia="Times New Roman" w:hAnsi="Arial"/>
          <w:szCs w:val="24"/>
        </w:rPr>
        <w:t>sofern</w:t>
      </w:r>
      <w:proofErr w:type="spellEnd"/>
      <w:r>
        <w:rPr>
          <w:rFonts w:ascii="Arial" w:eastAsia="Times New Roman" w:hAnsi="Arial"/>
          <w:szCs w:val="24"/>
        </w:rPr>
        <w:t xml:space="preserve"> die </w:t>
      </w:r>
      <w:proofErr w:type="spellStart"/>
      <w:r>
        <w:rPr>
          <w:rFonts w:ascii="Arial" w:eastAsia="Times New Roman" w:hAnsi="Arial"/>
          <w:szCs w:val="24"/>
        </w:rPr>
        <w:t>erforderlichen</w:t>
      </w:r>
      <w:proofErr w:type="spellEnd"/>
      <w:r>
        <w:rPr>
          <w:rFonts w:ascii="Arial" w:eastAsia="Times New Roman" w:hAnsi="Arial"/>
          <w:szCs w:val="24"/>
        </w:rPr>
        <w:t xml:space="preserve"> </w:t>
      </w:r>
      <w:proofErr w:type="spellStart"/>
      <w:r>
        <w:rPr>
          <w:rFonts w:ascii="Arial" w:eastAsia="Times New Roman" w:hAnsi="Arial"/>
          <w:szCs w:val="24"/>
        </w:rPr>
        <w:t>Angaben</w:t>
      </w:r>
      <w:proofErr w:type="spellEnd"/>
      <w:r>
        <w:rPr>
          <w:rFonts w:ascii="Arial" w:eastAsia="Times New Roman" w:hAnsi="Arial"/>
          <w:szCs w:val="24"/>
        </w:rPr>
        <w:t xml:space="preserve"> </w:t>
      </w:r>
      <w:proofErr w:type="spellStart"/>
      <w:r>
        <w:rPr>
          <w:rFonts w:ascii="Arial" w:eastAsia="Times New Roman" w:hAnsi="Arial"/>
          <w:szCs w:val="24"/>
        </w:rPr>
        <w:t>gemacht</w:t>
      </w:r>
      <w:proofErr w:type="spellEnd"/>
      <w:r>
        <w:rPr>
          <w:rFonts w:ascii="Arial" w:eastAsia="Times New Roman" w:hAnsi="Arial"/>
          <w:szCs w:val="24"/>
        </w:rPr>
        <w:t xml:space="preserve"> </w:t>
      </w:r>
      <w:proofErr w:type="spellStart"/>
      <w:r>
        <w:rPr>
          <w:rFonts w:ascii="Arial" w:eastAsia="Times New Roman" w:hAnsi="Arial"/>
          <w:szCs w:val="24"/>
        </w:rPr>
        <w:t>werden</w:t>
      </w:r>
      <w:proofErr w:type="spellEnd"/>
      <w:r>
        <w:rPr>
          <w:rFonts w:ascii="Arial" w:eastAsia="Times New Roman" w:hAnsi="Arial"/>
          <w:szCs w:val="24"/>
        </w:rPr>
        <w:t>.</w:t>
      </w:r>
    </w:p>
    <w:p w14:paraId="05DC5FEE" w14:textId="77777777" w:rsidR="00A25A2C" w:rsidRPr="00AD16D0" w:rsidRDefault="00A25A2C" w:rsidP="00C5606C">
      <w:pPr>
        <w:pStyle w:val="BodyText"/>
        <w:numPr>
          <w:ilvl w:val="0"/>
          <w:numId w:val="10"/>
        </w:numPr>
        <w:spacing w:line="280" w:lineRule="auto"/>
        <w:jc w:val="left"/>
        <w:rPr>
          <w:rFonts w:ascii="Arial" w:eastAsia="Times New Roman" w:hAnsi="Arial"/>
          <w:szCs w:val="24"/>
        </w:rPr>
      </w:pPr>
      <w:r>
        <w:rPr>
          <w:rFonts w:ascii="Arial" w:eastAsia="Times New Roman" w:hAnsi="Arial"/>
          <w:szCs w:val="24"/>
        </w:rPr>
        <w:t xml:space="preserve">Das </w:t>
      </w:r>
      <w:proofErr w:type="spellStart"/>
      <w:r>
        <w:rPr>
          <w:rFonts w:ascii="Arial" w:eastAsia="Times New Roman" w:hAnsi="Arial"/>
          <w:szCs w:val="24"/>
        </w:rPr>
        <w:t>Arbeitsblatt</w:t>
      </w:r>
      <w:proofErr w:type="spellEnd"/>
      <w:r>
        <w:rPr>
          <w:rFonts w:ascii="Arial" w:eastAsia="Times New Roman" w:hAnsi="Arial"/>
          <w:szCs w:val="24"/>
        </w:rPr>
        <w:t xml:space="preserve"> </w:t>
      </w:r>
      <w:proofErr w:type="spellStart"/>
      <w:r>
        <w:rPr>
          <w:rFonts w:ascii="Arial" w:eastAsia="Times New Roman" w:hAnsi="Arial"/>
          <w:szCs w:val="24"/>
        </w:rPr>
        <w:t>Stoffangaben</w:t>
      </w:r>
      <w:proofErr w:type="spellEnd"/>
      <w:r>
        <w:rPr>
          <w:rFonts w:ascii="Arial" w:eastAsia="Times New Roman" w:hAnsi="Arial"/>
          <w:szCs w:val="24"/>
        </w:rPr>
        <w:t xml:space="preserve"> muss die </w:t>
      </w:r>
      <w:proofErr w:type="spellStart"/>
      <w:r>
        <w:rPr>
          <w:rFonts w:ascii="Arial" w:eastAsia="Times New Roman" w:hAnsi="Arial"/>
          <w:szCs w:val="24"/>
        </w:rPr>
        <w:t>Anforderungen</w:t>
      </w:r>
      <w:proofErr w:type="spellEnd"/>
      <w:r>
        <w:rPr>
          <w:rFonts w:ascii="Arial" w:eastAsia="Times New Roman" w:hAnsi="Arial"/>
          <w:szCs w:val="24"/>
        </w:rPr>
        <w:t xml:space="preserve"> der </w:t>
      </w:r>
      <w:proofErr w:type="spellStart"/>
      <w:r>
        <w:rPr>
          <w:rFonts w:ascii="Arial" w:eastAsia="Times New Roman" w:hAnsi="Arial"/>
          <w:szCs w:val="24"/>
        </w:rPr>
        <w:t>letzten</w:t>
      </w:r>
      <w:proofErr w:type="spellEnd"/>
      <w:r>
        <w:rPr>
          <w:rFonts w:ascii="Arial" w:eastAsia="Times New Roman" w:hAnsi="Arial"/>
          <w:szCs w:val="24"/>
        </w:rPr>
        <w:t xml:space="preserve"> GPCSE und den </w:t>
      </w:r>
      <w:proofErr w:type="spellStart"/>
      <w:r>
        <w:rPr>
          <w:rFonts w:ascii="Arial" w:eastAsia="Times New Roman" w:hAnsi="Arial"/>
          <w:szCs w:val="24"/>
        </w:rPr>
        <w:t>aktuell</w:t>
      </w:r>
      <w:proofErr w:type="spellEnd"/>
      <w:r>
        <w:rPr>
          <w:rFonts w:ascii="Arial" w:eastAsia="Times New Roman" w:hAnsi="Arial"/>
          <w:szCs w:val="24"/>
        </w:rPr>
        <w:t xml:space="preserve"> </w:t>
      </w:r>
      <w:proofErr w:type="spellStart"/>
      <w:r>
        <w:rPr>
          <w:rFonts w:ascii="Arial" w:eastAsia="Times New Roman" w:hAnsi="Arial"/>
          <w:szCs w:val="24"/>
        </w:rPr>
        <w:t>veröffentlichten</w:t>
      </w:r>
      <w:proofErr w:type="spellEnd"/>
      <w:r>
        <w:rPr>
          <w:rFonts w:ascii="Arial" w:eastAsia="Times New Roman" w:hAnsi="Arial"/>
          <w:szCs w:val="24"/>
        </w:rPr>
        <w:t xml:space="preserve"> </w:t>
      </w:r>
      <w:proofErr w:type="spellStart"/>
      <w:r>
        <w:rPr>
          <w:rFonts w:ascii="Arial" w:eastAsia="Times New Roman" w:hAnsi="Arial"/>
          <w:szCs w:val="24"/>
        </w:rPr>
        <w:t>Verordnungen</w:t>
      </w:r>
      <w:proofErr w:type="spellEnd"/>
      <w:r>
        <w:rPr>
          <w:rFonts w:ascii="Arial" w:eastAsia="Times New Roman" w:hAnsi="Arial"/>
          <w:szCs w:val="24"/>
        </w:rPr>
        <w:t xml:space="preserve"> (</w:t>
      </w:r>
      <w:proofErr w:type="spellStart"/>
      <w:r>
        <w:rPr>
          <w:rFonts w:ascii="Arial" w:eastAsia="Times New Roman" w:hAnsi="Arial"/>
          <w:szCs w:val="24"/>
        </w:rPr>
        <w:t>erhältlich</w:t>
      </w:r>
      <w:proofErr w:type="spellEnd"/>
      <w:r>
        <w:rPr>
          <w:rFonts w:ascii="Arial" w:eastAsia="Times New Roman" w:hAnsi="Arial"/>
          <w:szCs w:val="24"/>
        </w:rPr>
        <w:t xml:space="preserve"> </w:t>
      </w:r>
      <w:proofErr w:type="spellStart"/>
      <w:r>
        <w:rPr>
          <w:rFonts w:ascii="Arial" w:eastAsia="Times New Roman" w:hAnsi="Arial"/>
          <w:szCs w:val="24"/>
        </w:rPr>
        <w:t>unter</w:t>
      </w:r>
      <w:proofErr w:type="spellEnd"/>
      <w:r>
        <w:rPr>
          <w:rFonts w:ascii="Arial" w:eastAsia="Times New Roman" w:hAnsi="Arial"/>
          <w:szCs w:val="24"/>
        </w:rPr>
        <w:t xml:space="preserve"> supplier.xrite.com) </w:t>
      </w:r>
      <w:proofErr w:type="spellStart"/>
      <w:r>
        <w:rPr>
          <w:rFonts w:ascii="Arial" w:eastAsia="Times New Roman" w:hAnsi="Arial"/>
          <w:szCs w:val="24"/>
        </w:rPr>
        <w:t>entsprechen</w:t>
      </w:r>
      <w:proofErr w:type="spellEnd"/>
      <w:r>
        <w:rPr>
          <w:rFonts w:ascii="Arial" w:eastAsia="Times New Roman" w:hAnsi="Arial"/>
          <w:szCs w:val="24"/>
        </w:rPr>
        <w:t>.</w:t>
      </w:r>
    </w:p>
    <w:p w14:paraId="7258D399" w14:textId="77777777" w:rsidR="00A25A2C" w:rsidRPr="00AD16D0" w:rsidRDefault="00A25A2C" w:rsidP="00C5606C">
      <w:pPr>
        <w:pStyle w:val="BodyText"/>
        <w:numPr>
          <w:ilvl w:val="0"/>
          <w:numId w:val="10"/>
        </w:numPr>
        <w:spacing w:line="280" w:lineRule="auto"/>
        <w:jc w:val="left"/>
        <w:rPr>
          <w:rFonts w:ascii="Arial" w:eastAsia="Times New Roman" w:hAnsi="Arial"/>
          <w:szCs w:val="24"/>
        </w:rPr>
      </w:pPr>
      <w:proofErr w:type="spellStart"/>
      <w:r>
        <w:rPr>
          <w:rFonts w:ascii="Arial" w:eastAsia="Times New Roman" w:hAnsi="Arial"/>
          <w:szCs w:val="24"/>
        </w:rPr>
        <w:t>Lieferantennamen</w:t>
      </w:r>
      <w:proofErr w:type="spellEnd"/>
      <w:r>
        <w:rPr>
          <w:rFonts w:ascii="Arial" w:eastAsia="Times New Roman" w:hAnsi="Arial"/>
          <w:szCs w:val="24"/>
        </w:rPr>
        <w:t xml:space="preserve"> und -</w:t>
      </w:r>
      <w:proofErr w:type="spellStart"/>
      <w:r>
        <w:rPr>
          <w:rFonts w:ascii="Arial" w:eastAsia="Times New Roman" w:hAnsi="Arial"/>
          <w:szCs w:val="24"/>
        </w:rPr>
        <w:t>kontaktangaben</w:t>
      </w:r>
      <w:proofErr w:type="spellEnd"/>
      <w:r>
        <w:rPr>
          <w:rFonts w:ascii="Arial" w:eastAsia="Times New Roman" w:hAnsi="Arial"/>
          <w:szCs w:val="24"/>
        </w:rPr>
        <w:t xml:space="preserve"> </w:t>
      </w:r>
      <w:proofErr w:type="spellStart"/>
      <w:r>
        <w:rPr>
          <w:rFonts w:ascii="Arial" w:eastAsia="Times New Roman" w:hAnsi="Arial"/>
          <w:szCs w:val="24"/>
        </w:rPr>
        <w:t>eingeben</w:t>
      </w:r>
      <w:proofErr w:type="spellEnd"/>
    </w:p>
    <w:p w14:paraId="54BA7FE1" w14:textId="77777777" w:rsidR="00A25A2C" w:rsidRPr="00AD16D0" w:rsidRDefault="00A25A2C" w:rsidP="00C5606C">
      <w:pPr>
        <w:pStyle w:val="BodyText"/>
        <w:numPr>
          <w:ilvl w:val="0"/>
          <w:numId w:val="10"/>
        </w:numPr>
        <w:spacing w:line="280" w:lineRule="auto"/>
        <w:jc w:val="left"/>
        <w:rPr>
          <w:rFonts w:ascii="Arial" w:eastAsia="Times New Roman" w:hAnsi="Arial"/>
          <w:szCs w:val="24"/>
        </w:rPr>
      </w:pPr>
      <w:proofErr w:type="spellStart"/>
      <w:r>
        <w:rPr>
          <w:rFonts w:ascii="Arial" w:eastAsia="Times New Roman" w:hAnsi="Arial"/>
          <w:szCs w:val="24"/>
        </w:rPr>
        <w:t>Namen</w:t>
      </w:r>
      <w:proofErr w:type="spellEnd"/>
      <w:r>
        <w:rPr>
          <w:rFonts w:ascii="Arial" w:eastAsia="Times New Roman" w:hAnsi="Arial"/>
          <w:szCs w:val="24"/>
        </w:rPr>
        <w:t xml:space="preserve"> und </w:t>
      </w:r>
      <w:proofErr w:type="spellStart"/>
      <w:r>
        <w:rPr>
          <w:rFonts w:ascii="Arial" w:eastAsia="Times New Roman" w:hAnsi="Arial"/>
          <w:szCs w:val="24"/>
        </w:rPr>
        <w:t>Unterschrift</w:t>
      </w:r>
      <w:proofErr w:type="spellEnd"/>
      <w:r>
        <w:rPr>
          <w:rFonts w:ascii="Arial" w:eastAsia="Times New Roman" w:hAnsi="Arial"/>
          <w:szCs w:val="24"/>
        </w:rPr>
        <w:t xml:space="preserve"> des </w:t>
      </w:r>
      <w:proofErr w:type="spellStart"/>
      <w:r>
        <w:rPr>
          <w:rFonts w:ascii="Arial" w:eastAsia="Times New Roman" w:hAnsi="Arial"/>
          <w:szCs w:val="24"/>
        </w:rPr>
        <w:t>zeichnungsbefugten</w:t>
      </w:r>
      <w:proofErr w:type="spellEnd"/>
      <w:r>
        <w:rPr>
          <w:rFonts w:ascii="Arial" w:eastAsia="Times New Roman" w:hAnsi="Arial"/>
          <w:szCs w:val="24"/>
        </w:rPr>
        <w:t xml:space="preserve"> </w:t>
      </w:r>
      <w:proofErr w:type="spellStart"/>
      <w:r>
        <w:rPr>
          <w:rFonts w:ascii="Arial" w:eastAsia="Times New Roman" w:hAnsi="Arial"/>
          <w:szCs w:val="24"/>
        </w:rPr>
        <w:t>Repräsentanten</w:t>
      </w:r>
      <w:proofErr w:type="spellEnd"/>
      <w:r>
        <w:rPr>
          <w:rFonts w:ascii="Arial" w:eastAsia="Times New Roman" w:hAnsi="Arial"/>
          <w:szCs w:val="24"/>
        </w:rPr>
        <w:t xml:space="preserve"> </w:t>
      </w:r>
      <w:proofErr w:type="spellStart"/>
      <w:r>
        <w:rPr>
          <w:rFonts w:ascii="Arial" w:eastAsia="Times New Roman" w:hAnsi="Arial"/>
          <w:szCs w:val="24"/>
        </w:rPr>
        <w:t>eingeben</w:t>
      </w:r>
      <w:proofErr w:type="spellEnd"/>
      <w:r>
        <w:rPr>
          <w:rFonts w:ascii="Arial" w:eastAsia="Times New Roman" w:hAnsi="Arial"/>
          <w:szCs w:val="24"/>
        </w:rPr>
        <w:t xml:space="preserve"> </w:t>
      </w:r>
      <w:proofErr w:type="spellStart"/>
      <w:r>
        <w:rPr>
          <w:rFonts w:ascii="Arial" w:eastAsia="Times New Roman" w:hAnsi="Arial"/>
          <w:szCs w:val="24"/>
        </w:rPr>
        <w:t>zur</w:t>
      </w:r>
      <w:proofErr w:type="spellEnd"/>
      <w:r>
        <w:rPr>
          <w:rFonts w:ascii="Arial" w:eastAsia="Times New Roman" w:hAnsi="Arial"/>
          <w:szCs w:val="24"/>
        </w:rPr>
        <w:t xml:space="preserve"> </w:t>
      </w:r>
      <w:proofErr w:type="spellStart"/>
      <w:r>
        <w:rPr>
          <w:rFonts w:ascii="Arial" w:eastAsia="Times New Roman" w:hAnsi="Arial"/>
          <w:szCs w:val="24"/>
        </w:rPr>
        <w:t>Bestätigung</w:t>
      </w:r>
      <w:proofErr w:type="spellEnd"/>
      <w:r>
        <w:rPr>
          <w:rFonts w:ascii="Arial" w:eastAsia="Times New Roman" w:hAnsi="Arial"/>
          <w:szCs w:val="24"/>
        </w:rPr>
        <w:t xml:space="preserve">, </w:t>
      </w:r>
      <w:proofErr w:type="spellStart"/>
      <w:r>
        <w:rPr>
          <w:rFonts w:ascii="Arial" w:eastAsia="Times New Roman" w:hAnsi="Arial"/>
          <w:szCs w:val="24"/>
        </w:rPr>
        <w:t>dass</w:t>
      </w:r>
      <w:proofErr w:type="spellEnd"/>
      <w:r>
        <w:rPr>
          <w:rFonts w:ascii="Arial" w:eastAsia="Times New Roman" w:hAnsi="Arial"/>
          <w:szCs w:val="24"/>
        </w:rPr>
        <w:t xml:space="preserve"> das </w:t>
      </w:r>
      <w:proofErr w:type="spellStart"/>
      <w:r>
        <w:rPr>
          <w:rFonts w:ascii="Arial" w:eastAsia="Times New Roman" w:hAnsi="Arial"/>
          <w:szCs w:val="24"/>
        </w:rPr>
        <w:t>Formular</w:t>
      </w:r>
      <w:proofErr w:type="spellEnd"/>
      <w:r>
        <w:rPr>
          <w:rFonts w:ascii="Arial" w:eastAsia="Times New Roman" w:hAnsi="Arial"/>
          <w:szCs w:val="24"/>
        </w:rPr>
        <w:t xml:space="preserve"> </w:t>
      </w:r>
      <w:proofErr w:type="spellStart"/>
      <w:r>
        <w:rPr>
          <w:rFonts w:ascii="Arial" w:eastAsia="Times New Roman" w:hAnsi="Arial"/>
          <w:szCs w:val="24"/>
        </w:rPr>
        <w:t>nach</w:t>
      </w:r>
      <w:proofErr w:type="spellEnd"/>
      <w:r>
        <w:rPr>
          <w:rFonts w:ascii="Arial" w:eastAsia="Times New Roman" w:hAnsi="Arial"/>
          <w:szCs w:val="24"/>
        </w:rPr>
        <w:t xml:space="preserve"> </w:t>
      </w:r>
      <w:proofErr w:type="spellStart"/>
      <w:r>
        <w:rPr>
          <w:rFonts w:ascii="Arial" w:eastAsia="Times New Roman" w:hAnsi="Arial"/>
          <w:szCs w:val="24"/>
        </w:rPr>
        <w:t>bestem</w:t>
      </w:r>
      <w:proofErr w:type="spellEnd"/>
      <w:r>
        <w:rPr>
          <w:rFonts w:ascii="Arial" w:eastAsia="Times New Roman" w:hAnsi="Arial"/>
          <w:szCs w:val="24"/>
        </w:rPr>
        <w:t xml:space="preserve"> </w:t>
      </w:r>
      <w:proofErr w:type="spellStart"/>
      <w:r>
        <w:rPr>
          <w:rFonts w:ascii="Arial" w:eastAsia="Times New Roman" w:hAnsi="Arial"/>
          <w:szCs w:val="24"/>
        </w:rPr>
        <w:t>Wissen</w:t>
      </w:r>
      <w:proofErr w:type="spellEnd"/>
      <w:r>
        <w:rPr>
          <w:rFonts w:ascii="Arial" w:eastAsia="Times New Roman" w:hAnsi="Arial"/>
          <w:szCs w:val="24"/>
        </w:rPr>
        <w:t xml:space="preserve"> und </w:t>
      </w:r>
      <w:proofErr w:type="spellStart"/>
      <w:r>
        <w:rPr>
          <w:rFonts w:ascii="Arial" w:eastAsia="Times New Roman" w:hAnsi="Arial"/>
          <w:szCs w:val="24"/>
        </w:rPr>
        <w:t>Gewissen</w:t>
      </w:r>
      <w:proofErr w:type="spellEnd"/>
      <w:r>
        <w:rPr>
          <w:rFonts w:ascii="Arial" w:eastAsia="Times New Roman" w:hAnsi="Arial"/>
          <w:szCs w:val="24"/>
        </w:rPr>
        <w:t xml:space="preserve"> </w:t>
      </w:r>
      <w:proofErr w:type="spellStart"/>
      <w:r>
        <w:rPr>
          <w:rFonts w:ascii="Arial" w:eastAsia="Times New Roman" w:hAnsi="Arial"/>
          <w:szCs w:val="24"/>
        </w:rPr>
        <w:t>nach</w:t>
      </w:r>
      <w:proofErr w:type="spellEnd"/>
      <w:r>
        <w:rPr>
          <w:rFonts w:ascii="Arial" w:eastAsia="Times New Roman" w:hAnsi="Arial"/>
          <w:szCs w:val="24"/>
        </w:rPr>
        <w:t xml:space="preserve"> dem Stand des </w:t>
      </w:r>
      <w:proofErr w:type="spellStart"/>
      <w:r>
        <w:rPr>
          <w:rFonts w:ascii="Arial" w:eastAsia="Times New Roman" w:hAnsi="Arial"/>
          <w:szCs w:val="24"/>
        </w:rPr>
        <w:t>aktuellen</w:t>
      </w:r>
      <w:proofErr w:type="spellEnd"/>
      <w:r>
        <w:rPr>
          <w:rFonts w:ascii="Arial" w:eastAsia="Times New Roman" w:hAnsi="Arial"/>
          <w:szCs w:val="24"/>
        </w:rPr>
        <w:t xml:space="preserve"> Datums </w:t>
      </w:r>
      <w:proofErr w:type="spellStart"/>
      <w:r>
        <w:rPr>
          <w:rFonts w:ascii="Arial" w:eastAsia="Times New Roman" w:hAnsi="Arial"/>
          <w:szCs w:val="24"/>
        </w:rPr>
        <w:t>vollständig</w:t>
      </w:r>
      <w:proofErr w:type="spellEnd"/>
      <w:r>
        <w:rPr>
          <w:rFonts w:ascii="Arial" w:eastAsia="Times New Roman" w:hAnsi="Arial"/>
          <w:szCs w:val="24"/>
        </w:rPr>
        <w:t xml:space="preserve"> und </w:t>
      </w:r>
      <w:proofErr w:type="spellStart"/>
      <w:r>
        <w:rPr>
          <w:rFonts w:ascii="Arial" w:eastAsia="Times New Roman" w:hAnsi="Arial"/>
          <w:szCs w:val="24"/>
        </w:rPr>
        <w:t>korrekt</w:t>
      </w:r>
      <w:proofErr w:type="spellEnd"/>
      <w:r>
        <w:rPr>
          <w:rFonts w:ascii="Arial" w:eastAsia="Times New Roman" w:hAnsi="Arial"/>
          <w:szCs w:val="24"/>
        </w:rPr>
        <w:t xml:space="preserve"> </w:t>
      </w:r>
      <w:proofErr w:type="spellStart"/>
      <w:r>
        <w:rPr>
          <w:rFonts w:ascii="Arial" w:eastAsia="Times New Roman" w:hAnsi="Arial"/>
          <w:szCs w:val="24"/>
        </w:rPr>
        <w:t>ausgefüllt</w:t>
      </w:r>
      <w:proofErr w:type="spellEnd"/>
      <w:r>
        <w:rPr>
          <w:rFonts w:ascii="Arial" w:eastAsia="Times New Roman" w:hAnsi="Arial"/>
          <w:szCs w:val="24"/>
        </w:rPr>
        <w:t xml:space="preserve"> </w:t>
      </w:r>
      <w:proofErr w:type="spellStart"/>
      <w:r>
        <w:rPr>
          <w:rFonts w:ascii="Arial" w:eastAsia="Times New Roman" w:hAnsi="Arial"/>
          <w:szCs w:val="24"/>
        </w:rPr>
        <w:t>wurde</w:t>
      </w:r>
      <w:proofErr w:type="spellEnd"/>
      <w:r>
        <w:rPr>
          <w:rFonts w:ascii="Arial" w:eastAsia="Times New Roman" w:hAnsi="Arial"/>
          <w:szCs w:val="24"/>
        </w:rPr>
        <w:t>.</w:t>
      </w:r>
    </w:p>
    <w:p w14:paraId="11C8B8C7" w14:textId="77777777" w:rsidR="00A25A2C" w:rsidRPr="00AD16D0" w:rsidRDefault="00A25A2C" w:rsidP="00C5606C">
      <w:pPr>
        <w:pStyle w:val="BodyText"/>
        <w:numPr>
          <w:ilvl w:val="0"/>
          <w:numId w:val="10"/>
        </w:numPr>
        <w:spacing w:line="280" w:lineRule="auto"/>
        <w:jc w:val="left"/>
        <w:rPr>
          <w:rFonts w:ascii="Arial" w:eastAsia="Times New Roman" w:hAnsi="Arial"/>
          <w:szCs w:val="24"/>
        </w:rPr>
      </w:pPr>
      <w:proofErr w:type="spellStart"/>
      <w:r>
        <w:rPr>
          <w:rFonts w:ascii="Arial" w:eastAsia="Times New Roman" w:hAnsi="Arial"/>
          <w:szCs w:val="24"/>
        </w:rPr>
        <w:t>Artikelnummer</w:t>
      </w:r>
      <w:proofErr w:type="spellEnd"/>
      <w:r>
        <w:rPr>
          <w:rFonts w:ascii="Arial" w:eastAsia="Times New Roman" w:hAnsi="Arial"/>
          <w:szCs w:val="24"/>
        </w:rPr>
        <w:t xml:space="preserve"> von X-Rite und dem </w:t>
      </w:r>
      <w:proofErr w:type="spellStart"/>
      <w:r>
        <w:rPr>
          <w:rFonts w:ascii="Arial" w:eastAsia="Times New Roman" w:hAnsi="Arial"/>
          <w:szCs w:val="24"/>
        </w:rPr>
        <w:t>Lieferanten</w:t>
      </w:r>
      <w:proofErr w:type="spellEnd"/>
      <w:r>
        <w:rPr>
          <w:rFonts w:ascii="Arial" w:eastAsia="Times New Roman" w:hAnsi="Arial"/>
          <w:szCs w:val="24"/>
        </w:rPr>
        <w:t xml:space="preserve"> </w:t>
      </w:r>
      <w:proofErr w:type="spellStart"/>
      <w:r>
        <w:rPr>
          <w:rFonts w:ascii="Arial" w:eastAsia="Times New Roman" w:hAnsi="Arial"/>
          <w:szCs w:val="24"/>
        </w:rPr>
        <w:t>für</w:t>
      </w:r>
      <w:proofErr w:type="spellEnd"/>
      <w:r>
        <w:rPr>
          <w:rFonts w:ascii="Arial" w:eastAsia="Times New Roman" w:hAnsi="Arial"/>
          <w:szCs w:val="24"/>
        </w:rPr>
        <w:t xml:space="preserve"> </w:t>
      </w:r>
      <w:proofErr w:type="spellStart"/>
      <w:r>
        <w:rPr>
          <w:rFonts w:ascii="Arial" w:eastAsia="Times New Roman" w:hAnsi="Arial"/>
          <w:szCs w:val="24"/>
        </w:rPr>
        <w:t>alle</w:t>
      </w:r>
      <w:proofErr w:type="spellEnd"/>
      <w:r>
        <w:rPr>
          <w:rFonts w:ascii="Arial" w:eastAsia="Times New Roman" w:hAnsi="Arial"/>
          <w:szCs w:val="24"/>
        </w:rPr>
        <w:t xml:space="preserve"> </w:t>
      </w:r>
      <w:proofErr w:type="spellStart"/>
      <w:r>
        <w:rPr>
          <w:rFonts w:ascii="Arial" w:eastAsia="Times New Roman" w:hAnsi="Arial"/>
          <w:szCs w:val="24"/>
        </w:rPr>
        <w:t>Artikel</w:t>
      </w:r>
      <w:proofErr w:type="spellEnd"/>
      <w:r>
        <w:rPr>
          <w:rFonts w:ascii="Arial" w:eastAsia="Times New Roman" w:hAnsi="Arial"/>
          <w:szCs w:val="24"/>
        </w:rPr>
        <w:t xml:space="preserve"> </w:t>
      </w:r>
      <w:proofErr w:type="spellStart"/>
      <w:r>
        <w:rPr>
          <w:rFonts w:ascii="Arial" w:eastAsia="Times New Roman" w:hAnsi="Arial"/>
          <w:szCs w:val="24"/>
        </w:rPr>
        <w:t>oder</w:t>
      </w:r>
      <w:proofErr w:type="spellEnd"/>
      <w:r>
        <w:rPr>
          <w:rFonts w:ascii="Arial" w:eastAsia="Times New Roman" w:hAnsi="Arial"/>
          <w:szCs w:val="24"/>
        </w:rPr>
        <w:t xml:space="preserve"> </w:t>
      </w:r>
      <w:proofErr w:type="spellStart"/>
      <w:r>
        <w:rPr>
          <w:rFonts w:ascii="Arial" w:eastAsia="Times New Roman" w:hAnsi="Arial"/>
          <w:szCs w:val="24"/>
        </w:rPr>
        <w:t>Materialien</w:t>
      </w:r>
      <w:proofErr w:type="spellEnd"/>
      <w:r>
        <w:rPr>
          <w:rFonts w:ascii="Arial" w:eastAsia="Times New Roman" w:hAnsi="Arial"/>
          <w:szCs w:val="24"/>
        </w:rPr>
        <w:t xml:space="preserve"> (</w:t>
      </w:r>
      <w:proofErr w:type="spellStart"/>
      <w:r>
        <w:rPr>
          <w:rFonts w:ascii="Arial" w:eastAsia="Times New Roman" w:hAnsi="Arial"/>
          <w:szCs w:val="24"/>
        </w:rPr>
        <w:t>oder</w:t>
      </w:r>
      <w:proofErr w:type="spellEnd"/>
      <w:r>
        <w:rPr>
          <w:rFonts w:ascii="Arial" w:eastAsia="Times New Roman" w:hAnsi="Arial"/>
          <w:szCs w:val="24"/>
        </w:rPr>
        <w:t xml:space="preserve"> </w:t>
      </w:r>
      <w:proofErr w:type="spellStart"/>
      <w:r>
        <w:rPr>
          <w:rFonts w:ascii="Arial" w:eastAsia="Times New Roman" w:hAnsi="Arial"/>
          <w:szCs w:val="24"/>
        </w:rPr>
        <w:t>gegebenenfalls</w:t>
      </w:r>
      <w:proofErr w:type="spellEnd"/>
      <w:r>
        <w:rPr>
          <w:rFonts w:ascii="Arial" w:eastAsia="Times New Roman" w:hAnsi="Arial"/>
          <w:szCs w:val="24"/>
        </w:rPr>
        <w:t xml:space="preserve"> </w:t>
      </w:r>
      <w:proofErr w:type="spellStart"/>
      <w:r>
        <w:rPr>
          <w:rFonts w:ascii="Arial" w:eastAsia="Times New Roman" w:hAnsi="Arial"/>
          <w:szCs w:val="24"/>
        </w:rPr>
        <w:t>Bauteilgruppen</w:t>
      </w:r>
      <w:proofErr w:type="spellEnd"/>
      <w:r>
        <w:rPr>
          <w:rFonts w:ascii="Arial" w:eastAsia="Times New Roman" w:hAnsi="Arial"/>
          <w:szCs w:val="24"/>
        </w:rPr>
        <w:t xml:space="preserve">) </w:t>
      </w:r>
      <w:proofErr w:type="spellStart"/>
      <w:r>
        <w:rPr>
          <w:rFonts w:ascii="Arial" w:eastAsia="Times New Roman" w:hAnsi="Arial"/>
          <w:szCs w:val="24"/>
        </w:rPr>
        <w:t>eingeben</w:t>
      </w:r>
      <w:proofErr w:type="spellEnd"/>
    </w:p>
    <w:p w14:paraId="5C655C32" w14:textId="77777777" w:rsidR="00A25A2C" w:rsidRPr="00F234B7" w:rsidRDefault="00A25A2C" w:rsidP="00C5606C">
      <w:pPr>
        <w:pStyle w:val="BodyText"/>
        <w:numPr>
          <w:ilvl w:val="0"/>
          <w:numId w:val="10"/>
        </w:numPr>
        <w:spacing w:line="280" w:lineRule="auto"/>
        <w:jc w:val="left"/>
        <w:rPr>
          <w:rFonts w:ascii="Arial" w:eastAsia="Times New Roman" w:hAnsi="Arial"/>
          <w:szCs w:val="24"/>
        </w:rPr>
      </w:pPr>
      <w:proofErr w:type="spellStart"/>
      <w:r>
        <w:rPr>
          <w:rFonts w:ascii="Arial" w:hAnsi="Arial"/>
          <w:szCs w:val="24"/>
        </w:rPr>
        <w:t>Geben</w:t>
      </w:r>
      <w:proofErr w:type="spellEnd"/>
      <w:r>
        <w:rPr>
          <w:rFonts w:ascii="Arial" w:hAnsi="Arial"/>
          <w:szCs w:val="24"/>
        </w:rPr>
        <w:t xml:space="preserve"> Sie </w:t>
      </w:r>
      <w:proofErr w:type="spellStart"/>
      <w:r>
        <w:rPr>
          <w:rFonts w:ascii="Arial" w:hAnsi="Arial"/>
          <w:szCs w:val="24"/>
        </w:rPr>
        <w:t>alle</w:t>
      </w:r>
      <w:proofErr w:type="spellEnd"/>
      <w:r>
        <w:rPr>
          <w:rFonts w:ascii="Arial" w:hAnsi="Arial"/>
          <w:szCs w:val="24"/>
        </w:rPr>
        <w:t xml:space="preserve"> </w:t>
      </w:r>
      <w:proofErr w:type="spellStart"/>
      <w:r>
        <w:rPr>
          <w:rFonts w:ascii="Arial" w:hAnsi="Arial"/>
          <w:szCs w:val="24"/>
        </w:rPr>
        <w:t>bekannten</w:t>
      </w:r>
      <w:proofErr w:type="spellEnd"/>
      <w:r>
        <w:rPr>
          <w:rFonts w:ascii="Arial" w:hAnsi="Arial"/>
          <w:szCs w:val="24"/>
        </w:rPr>
        <w:t xml:space="preserve"> </w:t>
      </w:r>
      <w:proofErr w:type="spellStart"/>
      <w:r>
        <w:rPr>
          <w:rFonts w:ascii="Arial" w:hAnsi="Arial"/>
          <w:szCs w:val="24"/>
        </w:rPr>
        <w:t>Stoffe</w:t>
      </w:r>
      <w:proofErr w:type="spellEnd"/>
      <w:r>
        <w:rPr>
          <w:rFonts w:ascii="Arial" w:hAnsi="Arial"/>
          <w:szCs w:val="24"/>
        </w:rPr>
        <w:t xml:space="preserve"> und </w:t>
      </w:r>
      <w:proofErr w:type="spellStart"/>
      <w:r>
        <w:rPr>
          <w:rFonts w:ascii="Arial" w:hAnsi="Arial"/>
          <w:szCs w:val="24"/>
        </w:rPr>
        <w:t>Stoffmengen</w:t>
      </w:r>
      <w:proofErr w:type="spellEnd"/>
      <w:r>
        <w:rPr>
          <w:rFonts w:ascii="Arial" w:hAnsi="Arial"/>
          <w:szCs w:val="24"/>
        </w:rPr>
        <w:t xml:space="preserve"> </w:t>
      </w:r>
      <w:proofErr w:type="spellStart"/>
      <w:r>
        <w:rPr>
          <w:rFonts w:ascii="Arial" w:hAnsi="Arial"/>
          <w:szCs w:val="24"/>
        </w:rPr>
        <w:t>für</w:t>
      </w:r>
      <w:proofErr w:type="spellEnd"/>
      <w:r>
        <w:rPr>
          <w:rFonts w:ascii="Arial" w:hAnsi="Arial"/>
          <w:szCs w:val="24"/>
        </w:rPr>
        <w:t xml:space="preserve"> den </w:t>
      </w:r>
      <w:proofErr w:type="spellStart"/>
      <w:r>
        <w:rPr>
          <w:rFonts w:ascii="Arial" w:hAnsi="Arial"/>
          <w:szCs w:val="24"/>
        </w:rPr>
        <w:t>Artikel</w:t>
      </w:r>
      <w:proofErr w:type="spellEnd"/>
      <w:r>
        <w:rPr>
          <w:rFonts w:ascii="Arial" w:hAnsi="Arial"/>
          <w:szCs w:val="24"/>
        </w:rPr>
        <w:t xml:space="preserve"> </w:t>
      </w:r>
      <w:proofErr w:type="spellStart"/>
      <w:r>
        <w:rPr>
          <w:rFonts w:ascii="Arial" w:hAnsi="Arial"/>
          <w:szCs w:val="24"/>
        </w:rPr>
        <w:t>oder</w:t>
      </w:r>
      <w:proofErr w:type="spellEnd"/>
      <w:r>
        <w:rPr>
          <w:rFonts w:ascii="Arial" w:hAnsi="Arial"/>
          <w:szCs w:val="24"/>
        </w:rPr>
        <w:t xml:space="preserve"> das Material </w:t>
      </w:r>
      <w:proofErr w:type="spellStart"/>
      <w:r>
        <w:rPr>
          <w:rFonts w:ascii="Arial" w:hAnsi="Arial"/>
          <w:szCs w:val="24"/>
        </w:rPr>
        <w:t>ein</w:t>
      </w:r>
      <w:proofErr w:type="spellEnd"/>
      <w:r>
        <w:rPr>
          <w:rFonts w:ascii="Arial" w:hAnsi="Arial"/>
          <w:szCs w:val="24"/>
        </w:rPr>
        <w:t xml:space="preserve">, </w:t>
      </w:r>
      <w:proofErr w:type="spellStart"/>
      <w:r>
        <w:rPr>
          <w:rFonts w:ascii="Arial" w:hAnsi="Arial"/>
          <w:szCs w:val="24"/>
        </w:rPr>
        <w:t>auch</w:t>
      </w:r>
      <w:proofErr w:type="spellEnd"/>
      <w:r>
        <w:rPr>
          <w:rFonts w:ascii="Arial" w:hAnsi="Arial"/>
          <w:szCs w:val="24"/>
        </w:rPr>
        <w:t xml:space="preserve"> </w:t>
      </w:r>
      <w:proofErr w:type="spellStart"/>
      <w:r>
        <w:rPr>
          <w:rFonts w:ascii="Arial" w:hAnsi="Arial"/>
          <w:szCs w:val="24"/>
        </w:rPr>
        <w:t>wenn</w:t>
      </w:r>
      <w:proofErr w:type="spellEnd"/>
      <w:r>
        <w:rPr>
          <w:rFonts w:ascii="Arial" w:hAnsi="Arial"/>
          <w:szCs w:val="24"/>
        </w:rPr>
        <w:t xml:space="preserve"> </w:t>
      </w:r>
      <w:proofErr w:type="spellStart"/>
      <w:r>
        <w:rPr>
          <w:rFonts w:ascii="Arial" w:hAnsi="Arial"/>
          <w:szCs w:val="24"/>
        </w:rPr>
        <w:t>dieser</w:t>
      </w:r>
      <w:proofErr w:type="spellEnd"/>
      <w:r>
        <w:rPr>
          <w:rFonts w:ascii="Arial" w:hAnsi="Arial"/>
          <w:szCs w:val="24"/>
        </w:rPr>
        <w:t xml:space="preserve"> die </w:t>
      </w:r>
      <w:proofErr w:type="spellStart"/>
      <w:r>
        <w:rPr>
          <w:rFonts w:ascii="Arial" w:hAnsi="Arial"/>
          <w:szCs w:val="24"/>
        </w:rPr>
        <w:t>Anforderungen</w:t>
      </w:r>
      <w:proofErr w:type="spellEnd"/>
      <w:r>
        <w:rPr>
          <w:rFonts w:ascii="Arial" w:hAnsi="Arial"/>
          <w:szCs w:val="24"/>
        </w:rPr>
        <w:t xml:space="preserve"> </w:t>
      </w:r>
      <w:proofErr w:type="spellStart"/>
      <w:r>
        <w:rPr>
          <w:rFonts w:ascii="Arial" w:hAnsi="Arial"/>
          <w:szCs w:val="24"/>
        </w:rPr>
        <w:t>voll</w:t>
      </w:r>
      <w:proofErr w:type="spellEnd"/>
      <w:r>
        <w:rPr>
          <w:rFonts w:ascii="Arial" w:hAnsi="Arial"/>
          <w:szCs w:val="24"/>
        </w:rPr>
        <w:t xml:space="preserve"> </w:t>
      </w:r>
      <w:proofErr w:type="spellStart"/>
      <w:r>
        <w:rPr>
          <w:rFonts w:ascii="Arial" w:hAnsi="Arial"/>
          <w:szCs w:val="24"/>
        </w:rPr>
        <w:t>erfüllt</w:t>
      </w:r>
      <w:proofErr w:type="spellEnd"/>
      <w:r>
        <w:rPr>
          <w:rFonts w:ascii="Arial" w:hAnsi="Arial"/>
          <w:szCs w:val="24"/>
        </w:rPr>
        <w:t xml:space="preserve">. </w:t>
      </w:r>
      <w:r>
        <w:rPr>
          <w:rFonts w:ascii="Arial" w:eastAsia="Times New Roman" w:hAnsi="Arial"/>
          <w:szCs w:val="24"/>
        </w:rPr>
        <w:t xml:space="preserve">Dies </w:t>
      </w:r>
      <w:proofErr w:type="spellStart"/>
      <w:r>
        <w:rPr>
          <w:rFonts w:ascii="Arial" w:eastAsia="Times New Roman" w:hAnsi="Arial"/>
          <w:szCs w:val="24"/>
        </w:rPr>
        <w:t>ist</w:t>
      </w:r>
      <w:proofErr w:type="spellEnd"/>
      <w:r>
        <w:rPr>
          <w:rFonts w:ascii="Arial" w:eastAsia="Times New Roman" w:hAnsi="Arial"/>
          <w:szCs w:val="24"/>
        </w:rPr>
        <w:t xml:space="preserve"> </w:t>
      </w:r>
      <w:proofErr w:type="spellStart"/>
      <w:r>
        <w:rPr>
          <w:rFonts w:ascii="Arial" w:eastAsia="Times New Roman" w:hAnsi="Arial"/>
          <w:szCs w:val="24"/>
        </w:rPr>
        <w:t>hilfreich</w:t>
      </w:r>
      <w:proofErr w:type="spellEnd"/>
      <w:r>
        <w:rPr>
          <w:rFonts w:ascii="Arial" w:eastAsia="Times New Roman" w:hAnsi="Arial"/>
          <w:szCs w:val="24"/>
        </w:rPr>
        <w:t xml:space="preserve">, </w:t>
      </w:r>
      <w:proofErr w:type="spellStart"/>
      <w:r>
        <w:rPr>
          <w:rFonts w:ascii="Arial" w:eastAsia="Times New Roman" w:hAnsi="Arial"/>
          <w:szCs w:val="24"/>
        </w:rPr>
        <w:t>wenn</w:t>
      </w:r>
      <w:proofErr w:type="spellEnd"/>
      <w:r>
        <w:rPr>
          <w:rFonts w:ascii="Arial" w:eastAsia="Times New Roman" w:hAnsi="Arial"/>
          <w:szCs w:val="24"/>
        </w:rPr>
        <w:t xml:space="preserve"> </w:t>
      </w:r>
      <w:proofErr w:type="spellStart"/>
      <w:r>
        <w:rPr>
          <w:rFonts w:ascii="Arial" w:eastAsia="Times New Roman" w:hAnsi="Arial"/>
          <w:szCs w:val="24"/>
        </w:rPr>
        <w:t>für</w:t>
      </w:r>
      <w:proofErr w:type="spellEnd"/>
      <w:r>
        <w:rPr>
          <w:rFonts w:ascii="Arial" w:eastAsia="Times New Roman" w:hAnsi="Arial"/>
          <w:szCs w:val="24"/>
        </w:rPr>
        <w:t xml:space="preserve"> das </w:t>
      </w:r>
      <w:proofErr w:type="spellStart"/>
      <w:r>
        <w:rPr>
          <w:rFonts w:ascii="Arial" w:eastAsia="Times New Roman" w:hAnsi="Arial"/>
          <w:szCs w:val="24"/>
        </w:rPr>
        <w:t>fertige</w:t>
      </w:r>
      <w:proofErr w:type="spellEnd"/>
      <w:r>
        <w:rPr>
          <w:rFonts w:ascii="Arial" w:eastAsia="Times New Roman" w:hAnsi="Arial"/>
          <w:szCs w:val="24"/>
        </w:rPr>
        <w:t xml:space="preserve"> </w:t>
      </w:r>
      <w:proofErr w:type="spellStart"/>
      <w:r>
        <w:rPr>
          <w:rFonts w:ascii="Arial" w:eastAsia="Times New Roman" w:hAnsi="Arial"/>
          <w:szCs w:val="24"/>
        </w:rPr>
        <w:t>Produkt</w:t>
      </w:r>
      <w:proofErr w:type="spellEnd"/>
      <w:r>
        <w:rPr>
          <w:rFonts w:ascii="Arial" w:eastAsia="Times New Roman" w:hAnsi="Arial"/>
          <w:szCs w:val="24"/>
        </w:rPr>
        <w:t xml:space="preserve"> die </w:t>
      </w:r>
      <w:proofErr w:type="spellStart"/>
      <w:r>
        <w:rPr>
          <w:rFonts w:ascii="Arial" w:eastAsia="Times New Roman" w:hAnsi="Arial"/>
          <w:szCs w:val="24"/>
        </w:rPr>
        <w:t>Informationen</w:t>
      </w:r>
      <w:proofErr w:type="spellEnd"/>
      <w:r>
        <w:rPr>
          <w:rFonts w:ascii="Arial" w:eastAsia="Times New Roman" w:hAnsi="Arial"/>
          <w:szCs w:val="24"/>
        </w:rPr>
        <w:t xml:space="preserve"> </w:t>
      </w:r>
      <w:proofErr w:type="spellStart"/>
      <w:r>
        <w:rPr>
          <w:rFonts w:ascii="Arial" w:eastAsia="Times New Roman" w:hAnsi="Arial"/>
          <w:szCs w:val="24"/>
        </w:rPr>
        <w:t>zur</w:t>
      </w:r>
      <w:proofErr w:type="spellEnd"/>
      <w:r>
        <w:rPr>
          <w:rFonts w:ascii="Arial" w:eastAsia="Times New Roman" w:hAnsi="Arial"/>
          <w:szCs w:val="24"/>
        </w:rPr>
        <w:t xml:space="preserve"> </w:t>
      </w:r>
      <w:proofErr w:type="spellStart"/>
      <w:r>
        <w:rPr>
          <w:rFonts w:ascii="Arial" w:eastAsia="Times New Roman" w:hAnsi="Arial"/>
          <w:szCs w:val="24"/>
        </w:rPr>
        <w:t>Gesamtsumme</w:t>
      </w:r>
      <w:proofErr w:type="spellEnd"/>
      <w:r>
        <w:rPr>
          <w:rFonts w:ascii="Arial" w:eastAsia="Times New Roman" w:hAnsi="Arial"/>
          <w:szCs w:val="24"/>
        </w:rPr>
        <w:t xml:space="preserve"> an </w:t>
      </w:r>
      <w:proofErr w:type="spellStart"/>
      <w:r>
        <w:rPr>
          <w:rFonts w:ascii="Arial" w:eastAsia="Times New Roman" w:hAnsi="Arial"/>
          <w:szCs w:val="24"/>
        </w:rPr>
        <w:t>Inhaltsstoffen</w:t>
      </w:r>
      <w:proofErr w:type="spellEnd"/>
      <w:r>
        <w:rPr>
          <w:rFonts w:ascii="Arial" w:eastAsia="Times New Roman" w:hAnsi="Arial"/>
          <w:szCs w:val="24"/>
        </w:rPr>
        <w:t xml:space="preserve">. </w:t>
      </w:r>
    </w:p>
    <w:p w14:paraId="378EC2F4" w14:textId="77777777" w:rsidR="00A25A2C" w:rsidRPr="004F0B28" w:rsidRDefault="00A25A2C" w:rsidP="00C5606C">
      <w:pPr>
        <w:pStyle w:val="BodyText"/>
        <w:numPr>
          <w:ilvl w:val="0"/>
          <w:numId w:val="10"/>
        </w:numPr>
        <w:spacing w:line="280" w:lineRule="auto"/>
        <w:jc w:val="left"/>
        <w:rPr>
          <w:rFonts w:ascii="Arial" w:eastAsia="Times New Roman" w:hAnsi="Arial"/>
          <w:szCs w:val="24"/>
        </w:rPr>
      </w:pPr>
      <w:proofErr w:type="spellStart"/>
      <w:r>
        <w:rPr>
          <w:rFonts w:ascii="Arial" w:eastAsia="Times New Roman" w:hAnsi="Arial"/>
          <w:szCs w:val="24"/>
        </w:rPr>
        <w:t>Vollständige</w:t>
      </w:r>
      <w:proofErr w:type="spellEnd"/>
      <w:r>
        <w:rPr>
          <w:rFonts w:ascii="Arial" w:eastAsia="Times New Roman" w:hAnsi="Arial"/>
          <w:szCs w:val="24"/>
        </w:rPr>
        <w:t xml:space="preserve"> </w:t>
      </w:r>
      <w:proofErr w:type="spellStart"/>
      <w:r>
        <w:rPr>
          <w:rFonts w:ascii="Arial" w:eastAsia="Times New Roman" w:hAnsi="Arial"/>
          <w:szCs w:val="24"/>
        </w:rPr>
        <w:t>Materialmeldepflicht</w:t>
      </w:r>
      <w:proofErr w:type="spellEnd"/>
      <w:r>
        <w:rPr>
          <w:rFonts w:ascii="Arial" w:eastAsia="Times New Roman" w:hAnsi="Arial"/>
          <w:szCs w:val="24"/>
        </w:rPr>
        <w:t xml:space="preserve"> (</w:t>
      </w:r>
      <w:proofErr w:type="spellStart"/>
      <w:r>
        <w:rPr>
          <w:rFonts w:ascii="Arial" w:eastAsia="Times New Roman" w:hAnsi="Arial"/>
          <w:szCs w:val="24"/>
        </w:rPr>
        <w:t>bei</w:t>
      </w:r>
      <w:proofErr w:type="spellEnd"/>
      <w:r>
        <w:rPr>
          <w:rFonts w:ascii="Arial" w:eastAsia="Times New Roman" w:hAnsi="Arial"/>
          <w:szCs w:val="24"/>
        </w:rPr>
        <w:t xml:space="preserve"> 0,1% </w:t>
      </w:r>
      <w:proofErr w:type="spellStart"/>
      <w:r>
        <w:rPr>
          <w:rFonts w:ascii="Arial" w:eastAsia="Times New Roman" w:hAnsi="Arial"/>
          <w:szCs w:val="24"/>
        </w:rPr>
        <w:t>oder</w:t>
      </w:r>
      <w:proofErr w:type="spellEnd"/>
      <w:r>
        <w:rPr>
          <w:rFonts w:ascii="Arial" w:eastAsia="Times New Roman" w:hAnsi="Arial"/>
          <w:szCs w:val="24"/>
        </w:rPr>
        <w:t xml:space="preserve"> </w:t>
      </w:r>
      <w:proofErr w:type="spellStart"/>
      <w:r>
        <w:rPr>
          <w:rFonts w:ascii="Arial" w:eastAsia="Times New Roman" w:hAnsi="Arial"/>
          <w:szCs w:val="24"/>
        </w:rPr>
        <w:t>größer</w:t>
      </w:r>
      <w:proofErr w:type="spellEnd"/>
      <w:r>
        <w:rPr>
          <w:rFonts w:ascii="Arial" w:eastAsia="Times New Roman" w:hAnsi="Arial"/>
          <w:szCs w:val="24"/>
        </w:rPr>
        <w:t xml:space="preserve"> </w:t>
      </w:r>
      <w:proofErr w:type="spellStart"/>
      <w:r>
        <w:rPr>
          <w:rFonts w:ascii="Arial" w:eastAsia="Times New Roman" w:hAnsi="Arial"/>
          <w:szCs w:val="24"/>
        </w:rPr>
        <w:t>für</w:t>
      </w:r>
      <w:proofErr w:type="spellEnd"/>
      <w:r>
        <w:rPr>
          <w:rFonts w:ascii="Arial" w:eastAsia="Times New Roman" w:hAnsi="Arial"/>
          <w:szCs w:val="24"/>
        </w:rPr>
        <w:t xml:space="preserve"> </w:t>
      </w:r>
      <w:proofErr w:type="spellStart"/>
      <w:r>
        <w:rPr>
          <w:rFonts w:ascii="Arial" w:eastAsia="Times New Roman" w:hAnsi="Arial"/>
          <w:szCs w:val="24"/>
          <w:u w:val="single"/>
        </w:rPr>
        <w:t>alle</w:t>
      </w:r>
      <w:proofErr w:type="spellEnd"/>
      <w:r>
        <w:rPr>
          <w:rFonts w:ascii="Arial" w:eastAsia="Times New Roman" w:hAnsi="Arial"/>
          <w:szCs w:val="24"/>
        </w:rPr>
        <w:t xml:space="preserve"> </w:t>
      </w:r>
      <w:proofErr w:type="spellStart"/>
      <w:r>
        <w:rPr>
          <w:rFonts w:ascii="Arial" w:eastAsia="Times New Roman" w:hAnsi="Arial"/>
          <w:szCs w:val="24"/>
        </w:rPr>
        <w:t>enthaltenen</w:t>
      </w:r>
      <w:proofErr w:type="spellEnd"/>
      <w:r>
        <w:rPr>
          <w:rFonts w:ascii="Arial" w:eastAsia="Times New Roman" w:hAnsi="Arial"/>
          <w:szCs w:val="24"/>
        </w:rPr>
        <w:t xml:space="preserve"> </w:t>
      </w:r>
      <w:proofErr w:type="spellStart"/>
      <w:r>
        <w:rPr>
          <w:rFonts w:ascii="Arial" w:eastAsia="Times New Roman" w:hAnsi="Arial"/>
          <w:szCs w:val="24"/>
        </w:rPr>
        <w:t>Werkstoffe</w:t>
      </w:r>
      <w:proofErr w:type="spellEnd"/>
      <w:r>
        <w:rPr>
          <w:rFonts w:ascii="Arial" w:eastAsia="Times New Roman" w:hAnsi="Arial"/>
          <w:szCs w:val="24"/>
        </w:rPr>
        <w:t xml:space="preserve">) </w:t>
      </w:r>
      <w:proofErr w:type="spellStart"/>
      <w:r>
        <w:rPr>
          <w:rFonts w:ascii="Arial" w:eastAsia="Times New Roman" w:hAnsi="Arial"/>
          <w:szCs w:val="24"/>
        </w:rPr>
        <w:t>wird</w:t>
      </w:r>
      <w:proofErr w:type="spellEnd"/>
      <w:r>
        <w:rPr>
          <w:rFonts w:ascii="Arial" w:eastAsia="Times New Roman" w:hAnsi="Arial"/>
          <w:szCs w:val="24"/>
        </w:rPr>
        <w:t xml:space="preserve"> </w:t>
      </w:r>
      <w:proofErr w:type="spellStart"/>
      <w:r>
        <w:rPr>
          <w:rFonts w:ascii="Arial" w:eastAsia="Times New Roman" w:hAnsi="Arial"/>
          <w:szCs w:val="24"/>
        </w:rPr>
        <w:t>für</w:t>
      </w:r>
      <w:proofErr w:type="spellEnd"/>
      <w:r>
        <w:rPr>
          <w:rFonts w:ascii="Arial" w:eastAsia="Times New Roman" w:hAnsi="Arial"/>
          <w:szCs w:val="24"/>
        </w:rPr>
        <w:t xml:space="preserve"> </w:t>
      </w:r>
      <w:proofErr w:type="spellStart"/>
      <w:r>
        <w:rPr>
          <w:rFonts w:ascii="Arial" w:eastAsia="Times New Roman" w:hAnsi="Arial"/>
          <w:szCs w:val="24"/>
        </w:rPr>
        <w:t>alle</w:t>
      </w:r>
      <w:proofErr w:type="spellEnd"/>
      <w:r>
        <w:rPr>
          <w:rFonts w:ascii="Arial" w:eastAsia="Times New Roman" w:hAnsi="Arial"/>
          <w:szCs w:val="24"/>
        </w:rPr>
        <w:t xml:space="preserve"> </w:t>
      </w:r>
      <w:proofErr w:type="spellStart"/>
      <w:r>
        <w:rPr>
          <w:rFonts w:ascii="Arial" w:eastAsia="Times New Roman" w:hAnsi="Arial"/>
          <w:szCs w:val="24"/>
        </w:rPr>
        <w:t>gelieferten</w:t>
      </w:r>
      <w:proofErr w:type="spellEnd"/>
      <w:r>
        <w:rPr>
          <w:rFonts w:ascii="Arial" w:eastAsia="Times New Roman" w:hAnsi="Arial"/>
          <w:szCs w:val="24"/>
        </w:rPr>
        <w:t xml:space="preserve"> </w:t>
      </w:r>
      <w:proofErr w:type="spellStart"/>
      <w:r>
        <w:rPr>
          <w:rFonts w:ascii="Arial" w:eastAsia="Times New Roman" w:hAnsi="Arial"/>
          <w:szCs w:val="24"/>
        </w:rPr>
        <w:t>Teile</w:t>
      </w:r>
      <w:proofErr w:type="spellEnd"/>
      <w:r>
        <w:rPr>
          <w:rFonts w:ascii="Arial" w:eastAsia="Times New Roman" w:hAnsi="Arial"/>
          <w:szCs w:val="24"/>
        </w:rPr>
        <w:t xml:space="preserve"> </w:t>
      </w:r>
      <w:proofErr w:type="spellStart"/>
      <w:r>
        <w:rPr>
          <w:rFonts w:ascii="Arial" w:eastAsia="Times New Roman" w:hAnsi="Arial"/>
          <w:szCs w:val="24"/>
        </w:rPr>
        <w:t>oder</w:t>
      </w:r>
      <w:proofErr w:type="spellEnd"/>
      <w:r>
        <w:rPr>
          <w:rFonts w:ascii="Arial" w:eastAsia="Times New Roman" w:hAnsi="Arial"/>
          <w:szCs w:val="24"/>
        </w:rPr>
        <w:t xml:space="preserve"> </w:t>
      </w:r>
      <w:proofErr w:type="spellStart"/>
      <w:r>
        <w:rPr>
          <w:rFonts w:ascii="Arial" w:eastAsia="Times New Roman" w:hAnsi="Arial"/>
          <w:szCs w:val="24"/>
        </w:rPr>
        <w:t>Werkstoffe</w:t>
      </w:r>
      <w:proofErr w:type="spellEnd"/>
      <w:r>
        <w:rPr>
          <w:rFonts w:ascii="Arial" w:eastAsia="Times New Roman" w:hAnsi="Arial"/>
          <w:szCs w:val="24"/>
        </w:rPr>
        <w:t xml:space="preserve"> </w:t>
      </w:r>
      <w:proofErr w:type="spellStart"/>
      <w:r>
        <w:rPr>
          <w:rFonts w:ascii="Arial" w:eastAsia="Times New Roman" w:hAnsi="Arial"/>
          <w:szCs w:val="24"/>
        </w:rPr>
        <w:t>empfohlen</w:t>
      </w:r>
      <w:proofErr w:type="spellEnd"/>
      <w:r>
        <w:rPr>
          <w:rFonts w:ascii="Arial" w:eastAsia="Times New Roman" w:hAnsi="Arial"/>
          <w:szCs w:val="24"/>
        </w:rPr>
        <w:t xml:space="preserve">. </w:t>
      </w:r>
      <w:proofErr w:type="spellStart"/>
      <w:r>
        <w:rPr>
          <w:rFonts w:ascii="Arial" w:eastAsia="Times New Roman" w:hAnsi="Arial"/>
          <w:szCs w:val="24"/>
        </w:rPr>
        <w:t>Wenn</w:t>
      </w:r>
      <w:proofErr w:type="spellEnd"/>
      <w:r>
        <w:rPr>
          <w:rFonts w:ascii="Arial" w:eastAsia="Times New Roman" w:hAnsi="Arial"/>
          <w:szCs w:val="24"/>
        </w:rPr>
        <w:t xml:space="preserve"> </w:t>
      </w:r>
      <w:proofErr w:type="spellStart"/>
      <w:r>
        <w:rPr>
          <w:rFonts w:ascii="Arial" w:eastAsia="Times New Roman" w:hAnsi="Arial"/>
          <w:szCs w:val="24"/>
        </w:rPr>
        <w:t>diese</w:t>
      </w:r>
      <w:proofErr w:type="spellEnd"/>
      <w:r>
        <w:rPr>
          <w:rFonts w:ascii="Arial" w:eastAsia="Times New Roman" w:hAnsi="Arial"/>
          <w:szCs w:val="24"/>
        </w:rPr>
        <w:t xml:space="preserve"> </w:t>
      </w:r>
      <w:proofErr w:type="spellStart"/>
      <w:r>
        <w:rPr>
          <w:rFonts w:ascii="Arial" w:eastAsia="Times New Roman" w:hAnsi="Arial"/>
          <w:szCs w:val="24"/>
        </w:rPr>
        <w:t>Informationen</w:t>
      </w:r>
      <w:proofErr w:type="spellEnd"/>
      <w:r>
        <w:rPr>
          <w:rFonts w:ascii="Arial" w:eastAsia="Times New Roman" w:hAnsi="Arial"/>
          <w:szCs w:val="24"/>
        </w:rPr>
        <w:t xml:space="preserve"> </w:t>
      </w:r>
      <w:proofErr w:type="spellStart"/>
      <w:r>
        <w:rPr>
          <w:rFonts w:ascii="Arial" w:eastAsia="Times New Roman" w:hAnsi="Arial"/>
          <w:szCs w:val="24"/>
        </w:rPr>
        <w:t>kontinuierlich</w:t>
      </w:r>
      <w:proofErr w:type="spellEnd"/>
      <w:r>
        <w:rPr>
          <w:rFonts w:ascii="Arial" w:eastAsia="Times New Roman" w:hAnsi="Arial"/>
          <w:szCs w:val="24"/>
        </w:rPr>
        <w:t xml:space="preserve"> </w:t>
      </w:r>
      <w:proofErr w:type="spellStart"/>
      <w:r>
        <w:rPr>
          <w:rFonts w:ascii="Arial" w:eastAsia="Times New Roman" w:hAnsi="Arial"/>
          <w:szCs w:val="24"/>
        </w:rPr>
        <w:t>aktualisiert</w:t>
      </w:r>
      <w:proofErr w:type="spellEnd"/>
      <w:r>
        <w:rPr>
          <w:rFonts w:ascii="Arial" w:eastAsia="Times New Roman" w:hAnsi="Arial"/>
          <w:szCs w:val="24"/>
        </w:rPr>
        <w:t xml:space="preserve"> </w:t>
      </w:r>
      <w:proofErr w:type="spellStart"/>
      <w:r>
        <w:rPr>
          <w:rFonts w:ascii="Arial" w:eastAsia="Times New Roman" w:hAnsi="Arial"/>
          <w:szCs w:val="24"/>
        </w:rPr>
        <w:t>werden</w:t>
      </w:r>
      <w:proofErr w:type="spellEnd"/>
      <w:r>
        <w:rPr>
          <w:rFonts w:ascii="Arial" w:eastAsia="Times New Roman" w:hAnsi="Arial"/>
          <w:szCs w:val="24"/>
        </w:rPr>
        <w:t xml:space="preserve">, </w:t>
      </w:r>
      <w:proofErr w:type="spellStart"/>
      <w:r>
        <w:rPr>
          <w:rFonts w:ascii="Arial" w:eastAsia="Times New Roman" w:hAnsi="Arial"/>
          <w:szCs w:val="24"/>
        </w:rPr>
        <w:t>dann</w:t>
      </w:r>
      <w:proofErr w:type="spellEnd"/>
      <w:r>
        <w:rPr>
          <w:rFonts w:ascii="Arial" w:eastAsia="Times New Roman" w:hAnsi="Arial"/>
          <w:szCs w:val="24"/>
        </w:rPr>
        <w:t xml:space="preserve"> </w:t>
      </w:r>
      <w:proofErr w:type="spellStart"/>
      <w:r>
        <w:rPr>
          <w:rFonts w:ascii="Arial" w:eastAsia="Times New Roman" w:hAnsi="Arial"/>
          <w:szCs w:val="24"/>
        </w:rPr>
        <w:t>sind</w:t>
      </w:r>
      <w:proofErr w:type="spellEnd"/>
      <w:r>
        <w:rPr>
          <w:rFonts w:ascii="Arial" w:eastAsia="Times New Roman" w:hAnsi="Arial"/>
          <w:szCs w:val="24"/>
        </w:rPr>
        <w:t xml:space="preserve"> die </w:t>
      </w:r>
      <w:proofErr w:type="spellStart"/>
      <w:r>
        <w:rPr>
          <w:rFonts w:ascii="Arial" w:eastAsia="Times New Roman" w:hAnsi="Arial"/>
          <w:szCs w:val="24"/>
        </w:rPr>
        <w:t>Stoffinformationen</w:t>
      </w:r>
      <w:proofErr w:type="spellEnd"/>
      <w:r>
        <w:rPr>
          <w:rFonts w:ascii="Arial" w:eastAsia="Times New Roman" w:hAnsi="Arial"/>
          <w:szCs w:val="24"/>
        </w:rPr>
        <w:t xml:space="preserve"> </w:t>
      </w:r>
      <w:proofErr w:type="spellStart"/>
      <w:r>
        <w:rPr>
          <w:rFonts w:ascii="Arial" w:eastAsia="Times New Roman" w:hAnsi="Arial"/>
          <w:szCs w:val="24"/>
        </w:rPr>
        <w:t>zu</w:t>
      </w:r>
      <w:proofErr w:type="spellEnd"/>
      <w:r>
        <w:rPr>
          <w:rFonts w:ascii="Arial" w:eastAsia="Times New Roman" w:hAnsi="Arial"/>
          <w:szCs w:val="24"/>
        </w:rPr>
        <w:t xml:space="preserve"> den </w:t>
      </w:r>
      <w:proofErr w:type="spellStart"/>
      <w:r>
        <w:rPr>
          <w:rFonts w:ascii="Arial" w:eastAsia="Times New Roman" w:hAnsi="Arial"/>
          <w:szCs w:val="24"/>
        </w:rPr>
        <w:t>Artikeln</w:t>
      </w:r>
      <w:proofErr w:type="spellEnd"/>
      <w:r>
        <w:rPr>
          <w:rFonts w:ascii="Arial" w:eastAsia="Times New Roman" w:hAnsi="Arial"/>
          <w:szCs w:val="24"/>
        </w:rPr>
        <w:t xml:space="preserve"> </w:t>
      </w:r>
      <w:proofErr w:type="spellStart"/>
      <w:r>
        <w:rPr>
          <w:rFonts w:ascii="Arial" w:eastAsia="Times New Roman" w:hAnsi="Arial"/>
          <w:szCs w:val="24"/>
        </w:rPr>
        <w:t>oder</w:t>
      </w:r>
      <w:proofErr w:type="spellEnd"/>
      <w:r>
        <w:rPr>
          <w:rFonts w:ascii="Arial" w:eastAsia="Times New Roman" w:hAnsi="Arial"/>
          <w:szCs w:val="24"/>
        </w:rPr>
        <w:t xml:space="preserve"> </w:t>
      </w:r>
      <w:proofErr w:type="spellStart"/>
      <w:r>
        <w:rPr>
          <w:rFonts w:ascii="Arial" w:eastAsia="Times New Roman" w:hAnsi="Arial"/>
          <w:szCs w:val="24"/>
        </w:rPr>
        <w:t>Werkstoffen</w:t>
      </w:r>
      <w:proofErr w:type="spellEnd"/>
      <w:r>
        <w:rPr>
          <w:rFonts w:ascii="Arial" w:eastAsia="Times New Roman" w:hAnsi="Arial"/>
          <w:szCs w:val="24"/>
        </w:rPr>
        <w:t xml:space="preserve"> </w:t>
      </w:r>
      <w:proofErr w:type="spellStart"/>
      <w:r>
        <w:rPr>
          <w:rFonts w:ascii="Arial" w:eastAsia="Times New Roman" w:hAnsi="Arial"/>
          <w:szCs w:val="24"/>
        </w:rPr>
        <w:t>umfassend</w:t>
      </w:r>
      <w:proofErr w:type="spellEnd"/>
      <w:r>
        <w:rPr>
          <w:rFonts w:ascii="Arial" w:eastAsia="Times New Roman" w:hAnsi="Arial"/>
          <w:szCs w:val="24"/>
        </w:rPr>
        <w:t xml:space="preserve">. Dies </w:t>
      </w:r>
      <w:proofErr w:type="spellStart"/>
      <w:r>
        <w:rPr>
          <w:rFonts w:ascii="Arial" w:eastAsia="Times New Roman" w:hAnsi="Arial"/>
          <w:szCs w:val="24"/>
        </w:rPr>
        <w:t>reduziert</w:t>
      </w:r>
      <w:proofErr w:type="spellEnd"/>
      <w:r>
        <w:rPr>
          <w:rFonts w:ascii="Arial" w:eastAsia="Times New Roman" w:hAnsi="Arial"/>
          <w:szCs w:val="24"/>
        </w:rPr>
        <w:t xml:space="preserve"> die </w:t>
      </w:r>
      <w:proofErr w:type="spellStart"/>
      <w:r>
        <w:rPr>
          <w:rFonts w:ascii="Arial" w:eastAsia="Times New Roman" w:hAnsi="Arial"/>
          <w:szCs w:val="24"/>
        </w:rPr>
        <w:t>Notwendigkeit</w:t>
      </w:r>
      <w:proofErr w:type="spellEnd"/>
      <w:r>
        <w:rPr>
          <w:rFonts w:ascii="Arial" w:eastAsia="Times New Roman" w:hAnsi="Arial"/>
          <w:szCs w:val="24"/>
        </w:rPr>
        <w:t xml:space="preserve"> von </w:t>
      </w:r>
      <w:proofErr w:type="spellStart"/>
      <w:r>
        <w:rPr>
          <w:rFonts w:ascii="Arial" w:eastAsia="Times New Roman" w:hAnsi="Arial"/>
          <w:szCs w:val="24"/>
        </w:rPr>
        <w:t>Anfragen</w:t>
      </w:r>
      <w:proofErr w:type="spellEnd"/>
      <w:r>
        <w:rPr>
          <w:rFonts w:ascii="Arial" w:eastAsia="Times New Roman" w:hAnsi="Arial"/>
          <w:szCs w:val="24"/>
        </w:rPr>
        <w:t xml:space="preserve"> </w:t>
      </w:r>
      <w:proofErr w:type="spellStart"/>
      <w:r>
        <w:rPr>
          <w:rFonts w:ascii="Arial" w:eastAsia="Times New Roman" w:hAnsi="Arial"/>
          <w:szCs w:val="24"/>
        </w:rPr>
        <w:t>nach</w:t>
      </w:r>
      <w:proofErr w:type="spellEnd"/>
      <w:r>
        <w:rPr>
          <w:rFonts w:ascii="Arial" w:eastAsia="Times New Roman" w:hAnsi="Arial"/>
          <w:szCs w:val="24"/>
        </w:rPr>
        <w:t xml:space="preserve"> </w:t>
      </w:r>
      <w:proofErr w:type="spellStart"/>
      <w:r>
        <w:rPr>
          <w:rFonts w:ascii="Arial" w:eastAsia="Times New Roman" w:hAnsi="Arial"/>
          <w:szCs w:val="24"/>
        </w:rPr>
        <w:t>weiteren</w:t>
      </w:r>
      <w:proofErr w:type="spellEnd"/>
      <w:r>
        <w:rPr>
          <w:rFonts w:ascii="Arial" w:eastAsia="Times New Roman" w:hAnsi="Arial"/>
          <w:szCs w:val="24"/>
        </w:rPr>
        <w:t xml:space="preserve"> </w:t>
      </w:r>
      <w:proofErr w:type="spellStart"/>
      <w:r>
        <w:rPr>
          <w:rFonts w:ascii="Arial" w:eastAsia="Times New Roman" w:hAnsi="Arial"/>
          <w:szCs w:val="24"/>
        </w:rPr>
        <w:t>Informationen</w:t>
      </w:r>
      <w:proofErr w:type="spellEnd"/>
      <w:r>
        <w:rPr>
          <w:rFonts w:ascii="Arial" w:eastAsia="Times New Roman" w:hAnsi="Arial"/>
          <w:szCs w:val="24"/>
        </w:rPr>
        <w:t xml:space="preserve">, falls </w:t>
      </w:r>
      <w:proofErr w:type="spellStart"/>
      <w:r>
        <w:rPr>
          <w:rFonts w:ascii="Arial" w:eastAsia="Times New Roman" w:hAnsi="Arial"/>
          <w:szCs w:val="24"/>
        </w:rPr>
        <w:t>neue</w:t>
      </w:r>
      <w:proofErr w:type="spellEnd"/>
      <w:r>
        <w:rPr>
          <w:rFonts w:ascii="Arial" w:eastAsia="Times New Roman" w:hAnsi="Arial"/>
          <w:szCs w:val="24"/>
        </w:rPr>
        <w:t xml:space="preserve"> </w:t>
      </w:r>
      <w:proofErr w:type="spellStart"/>
      <w:r>
        <w:rPr>
          <w:rFonts w:ascii="Arial" w:eastAsia="Times New Roman" w:hAnsi="Arial"/>
          <w:szCs w:val="24"/>
        </w:rPr>
        <w:t>Einschränkungen</w:t>
      </w:r>
      <w:proofErr w:type="spellEnd"/>
      <w:r>
        <w:rPr>
          <w:rFonts w:ascii="Arial" w:eastAsia="Times New Roman" w:hAnsi="Arial"/>
          <w:szCs w:val="24"/>
        </w:rPr>
        <w:t xml:space="preserve"> und </w:t>
      </w:r>
      <w:proofErr w:type="spellStart"/>
      <w:r>
        <w:rPr>
          <w:rFonts w:ascii="Arial" w:eastAsia="Times New Roman" w:hAnsi="Arial"/>
          <w:szCs w:val="24"/>
        </w:rPr>
        <w:t>Meldepflichten</w:t>
      </w:r>
      <w:proofErr w:type="spellEnd"/>
      <w:r>
        <w:rPr>
          <w:rFonts w:ascii="Arial" w:eastAsia="Times New Roman" w:hAnsi="Arial"/>
          <w:szCs w:val="24"/>
        </w:rPr>
        <w:t xml:space="preserve"> </w:t>
      </w:r>
      <w:proofErr w:type="spellStart"/>
      <w:r>
        <w:rPr>
          <w:rFonts w:ascii="Arial" w:eastAsia="Times New Roman" w:hAnsi="Arial"/>
          <w:szCs w:val="24"/>
        </w:rPr>
        <w:t>für</w:t>
      </w:r>
      <w:proofErr w:type="spellEnd"/>
      <w:r>
        <w:rPr>
          <w:rFonts w:ascii="Arial" w:eastAsia="Times New Roman" w:hAnsi="Arial"/>
          <w:szCs w:val="24"/>
        </w:rPr>
        <w:t xml:space="preserve"> </w:t>
      </w:r>
      <w:proofErr w:type="spellStart"/>
      <w:r>
        <w:rPr>
          <w:rFonts w:ascii="Arial" w:eastAsia="Times New Roman" w:hAnsi="Arial"/>
          <w:szCs w:val="24"/>
        </w:rPr>
        <w:t>Stoffe</w:t>
      </w:r>
      <w:proofErr w:type="spellEnd"/>
      <w:r>
        <w:rPr>
          <w:rFonts w:ascii="Arial" w:eastAsia="Times New Roman" w:hAnsi="Arial"/>
          <w:szCs w:val="24"/>
        </w:rPr>
        <w:t xml:space="preserve"> </w:t>
      </w:r>
      <w:proofErr w:type="spellStart"/>
      <w:r>
        <w:rPr>
          <w:rFonts w:ascii="Arial" w:eastAsia="Times New Roman" w:hAnsi="Arial"/>
          <w:szCs w:val="24"/>
        </w:rPr>
        <w:t>zu</w:t>
      </w:r>
      <w:proofErr w:type="spellEnd"/>
      <w:r>
        <w:rPr>
          <w:rFonts w:ascii="Arial" w:eastAsia="Times New Roman" w:hAnsi="Arial"/>
          <w:szCs w:val="24"/>
        </w:rPr>
        <w:t xml:space="preserve"> den </w:t>
      </w:r>
      <w:proofErr w:type="spellStart"/>
      <w:r>
        <w:rPr>
          <w:rFonts w:ascii="Arial" w:eastAsia="Times New Roman" w:hAnsi="Arial"/>
          <w:szCs w:val="24"/>
        </w:rPr>
        <w:t>verschiedenen</w:t>
      </w:r>
      <w:proofErr w:type="spellEnd"/>
      <w:r>
        <w:rPr>
          <w:rFonts w:ascii="Arial" w:eastAsia="Times New Roman" w:hAnsi="Arial"/>
          <w:szCs w:val="24"/>
        </w:rPr>
        <w:t xml:space="preserve"> </w:t>
      </w:r>
      <w:proofErr w:type="spellStart"/>
      <w:r>
        <w:rPr>
          <w:rFonts w:ascii="Arial" w:eastAsia="Times New Roman" w:hAnsi="Arial"/>
          <w:szCs w:val="24"/>
        </w:rPr>
        <w:t>Verordnungen</w:t>
      </w:r>
      <w:proofErr w:type="spellEnd"/>
      <w:r>
        <w:rPr>
          <w:rFonts w:ascii="Arial" w:eastAsia="Times New Roman" w:hAnsi="Arial"/>
          <w:szCs w:val="24"/>
        </w:rPr>
        <w:t xml:space="preserve"> </w:t>
      </w:r>
      <w:proofErr w:type="spellStart"/>
      <w:r>
        <w:rPr>
          <w:rFonts w:ascii="Arial" w:eastAsia="Times New Roman" w:hAnsi="Arial"/>
          <w:szCs w:val="24"/>
        </w:rPr>
        <w:t>hinzugefügt</w:t>
      </w:r>
      <w:proofErr w:type="spellEnd"/>
      <w:r>
        <w:rPr>
          <w:rFonts w:ascii="Arial" w:eastAsia="Times New Roman" w:hAnsi="Arial"/>
          <w:szCs w:val="24"/>
        </w:rPr>
        <w:t xml:space="preserve"> </w:t>
      </w:r>
      <w:proofErr w:type="spellStart"/>
      <w:r>
        <w:rPr>
          <w:rFonts w:ascii="Arial" w:eastAsia="Times New Roman" w:hAnsi="Arial"/>
          <w:szCs w:val="24"/>
        </w:rPr>
        <w:t>werden</w:t>
      </w:r>
      <w:proofErr w:type="spellEnd"/>
      <w:r>
        <w:rPr>
          <w:rFonts w:ascii="Arial" w:eastAsia="Times New Roman" w:hAnsi="Arial"/>
          <w:szCs w:val="24"/>
        </w:rPr>
        <w:t>.</w:t>
      </w:r>
    </w:p>
    <w:p w14:paraId="7AD9EDD8" w14:textId="77777777" w:rsidR="00A25A2C" w:rsidRPr="00AD16D0" w:rsidRDefault="00A25A2C" w:rsidP="00C5606C">
      <w:pPr>
        <w:pStyle w:val="BodyText"/>
        <w:numPr>
          <w:ilvl w:val="0"/>
          <w:numId w:val="10"/>
        </w:numPr>
        <w:spacing w:line="280" w:lineRule="auto"/>
        <w:jc w:val="left"/>
        <w:rPr>
          <w:rFonts w:ascii="Arial" w:eastAsia="Times New Roman" w:hAnsi="Arial"/>
          <w:szCs w:val="24"/>
        </w:rPr>
      </w:pPr>
      <w:proofErr w:type="spellStart"/>
      <w:r>
        <w:rPr>
          <w:rFonts w:ascii="Arial" w:eastAsia="Times New Roman" w:hAnsi="Arial"/>
          <w:szCs w:val="24"/>
        </w:rPr>
        <w:t>Lieferanten</w:t>
      </w:r>
      <w:proofErr w:type="spellEnd"/>
      <w:r>
        <w:rPr>
          <w:rFonts w:ascii="Arial" w:eastAsia="Times New Roman" w:hAnsi="Arial"/>
          <w:szCs w:val="24"/>
        </w:rPr>
        <w:t xml:space="preserve"> von X-Rite </w:t>
      </w:r>
      <w:proofErr w:type="spellStart"/>
      <w:r>
        <w:rPr>
          <w:rFonts w:ascii="Arial" w:eastAsia="Times New Roman" w:hAnsi="Arial"/>
          <w:szCs w:val="24"/>
        </w:rPr>
        <w:t>Leiterplatten</w:t>
      </w:r>
      <w:proofErr w:type="spellEnd"/>
      <w:r>
        <w:rPr>
          <w:rFonts w:ascii="Arial" w:eastAsia="Times New Roman" w:hAnsi="Arial"/>
          <w:szCs w:val="24"/>
        </w:rPr>
        <w:t xml:space="preserve"> </w:t>
      </w:r>
      <w:proofErr w:type="spellStart"/>
      <w:r>
        <w:rPr>
          <w:rFonts w:ascii="Arial" w:eastAsia="Times New Roman" w:hAnsi="Arial"/>
          <w:szCs w:val="24"/>
        </w:rPr>
        <w:t>müssen</w:t>
      </w:r>
      <w:proofErr w:type="spellEnd"/>
      <w:r>
        <w:rPr>
          <w:rFonts w:ascii="Arial" w:eastAsia="Times New Roman" w:hAnsi="Arial"/>
          <w:szCs w:val="24"/>
        </w:rPr>
        <w:t xml:space="preserve"> das </w:t>
      </w:r>
      <w:proofErr w:type="spellStart"/>
      <w:r>
        <w:rPr>
          <w:rFonts w:ascii="Arial" w:eastAsia="Times New Roman" w:hAnsi="Arial"/>
          <w:szCs w:val="24"/>
        </w:rPr>
        <w:t>Arbeitsblatt</w:t>
      </w:r>
      <w:proofErr w:type="spellEnd"/>
      <w:r>
        <w:rPr>
          <w:rFonts w:ascii="Arial" w:eastAsia="Times New Roman" w:hAnsi="Arial"/>
          <w:szCs w:val="24"/>
        </w:rPr>
        <w:t xml:space="preserve"> </w:t>
      </w:r>
      <w:proofErr w:type="spellStart"/>
      <w:r>
        <w:rPr>
          <w:rFonts w:ascii="Arial" w:eastAsia="Times New Roman" w:hAnsi="Arial"/>
          <w:szCs w:val="24"/>
        </w:rPr>
        <w:t>Werkstoffe</w:t>
      </w:r>
      <w:proofErr w:type="spellEnd"/>
      <w:r>
        <w:rPr>
          <w:rFonts w:ascii="Arial" w:eastAsia="Times New Roman" w:hAnsi="Arial"/>
          <w:szCs w:val="24"/>
        </w:rPr>
        <w:t xml:space="preserve"> </w:t>
      </w:r>
      <w:proofErr w:type="spellStart"/>
      <w:r>
        <w:rPr>
          <w:rFonts w:ascii="Arial" w:eastAsia="Times New Roman" w:hAnsi="Arial"/>
          <w:szCs w:val="24"/>
        </w:rPr>
        <w:t>für</w:t>
      </w:r>
      <w:proofErr w:type="spellEnd"/>
      <w:r>
        <w:rPr>
          <w:rFonts w:ascii="Arial" w:eastAsia="Times New Roman" w:hAnsi="Arial"/>
          <w:szCs w:val="24"/>
        </w:rPr>
        <w:t xml:space="preserve"> </w:t>
      </w:r>
      <w:proofErr w:type="spellStart"/>
      <w:r>
        <w:rPr>
          <w:rFonts w:ascii="Arial" w:eastAsia="Times New Roman" w:hAnsi="Arial"/>
          <w:szCs w:val="24"/>
        </w:rPr>
        <w:t>diese</w:t>
      </w:r>
      <w:proofErr w:type="spellEnd"/>
      <w:r>
        <w:rPr>
          <w:rFonts w:ascii="Arial" w:eastAsia="Times New Roman" w:hAnsi="Arial"/>
          <w:szCs w:val="24"/>
        </w:rPr>
        <w:t xml:space="preserve"> </w:t>
      </w:r>
      <w:proofErr w:type="spellStart"/>
      <w:r>
        <w:rPr>
          <w:rFonts w:ascii="Arial" w:eastAsia="Times New Roman" w:hAnsi="Arial"/>
          <w:szCs w:val="24"/>
        </w:rPr>
        <w:t>ausfüllen</w:t>
      </w:r>
      <w:proofErr w:type="spellEnd"/>
      <w:r>
        <w:rPr>
          <w:rFonts w:ascii="Arial" w:eastAsia="Times New Roman" w:hAnsi="Arial"/>
          <w:szCs w:val="24"/>
        </w:rPr>
        <w:t>.</w:t>
      </w:r>
    </w:p>
    <w:p w14:paraId="15866431" w14:textId="77777777" w:rsidR="00A25A2C" w:rsidRPr="00502BFF" w:rsidRDefault="00A25A2C" w:rsidP="00C5606C">
      <w:pPr>
        <w:pStyle w:val="BodyText"/>
        <w:numPr>
          <w:ilvl w:val="1"/>
          <w:numId w:val="10"/>
        </w:numPr>
        <w:spacing w:line="276" w:lineRule="auto"/>
        <w:jc w:val="left"/>
        <w:rPr>
          <w:rFonts w:ascii="Arial" w:hAnsi="Arial" w:cs="Arial"/>
        </w:rPr>
      </w:pPr>
      <w:r w:rsidRPr="00502BFF">
        <w:rPr>
          <w:rFonts w:ascii="Arial" w:hAnsi="Arial"/>
          <w:szCs w:val="24"/>
        </w:rPr>
        <w:t xml:space="preserve">X-Rite </w:t>
      </w:r>
      <w:proofErr w:type="spellStart"/>
      <w:r w:rsidRPr="00502BFF">
        <w:rPr>
          <w:rFonts w:ascii="Arial" w:hAnsi="Arial"/>
          <w:szCs w:val="24"/>
        </w:rPr>
        <w:t>gibt</w:t>
      </w:r>
      <w:proofErr w:type="spellEnd"/>
      <w:r w:rsidRPr="00502BFF">
        <w:rPr>
          <w:rFonts w:ascii="Arial" w:hAnsi="Arial"/>
          <w:szCs w:val="24"/>
        </w:rPr>
        <w:t xml:space="preserve"> </w:t>
      </w:r>
      <w:proofErr w:type="spellStart"/>
      <w:r w:rsidRPr="00502BFF">
        <w:rPr>
          <w:rFonts w:ascii="Arial" w:hAnsi="Arial"/>
          <w:szCs w:val="24"/>
        </w:rPr>
        <w:t>generell</w:t>
      </w:r>
      <w:proofErr w:type="spellEnd"/>
      <w:r w:rsidRPr="00502BFF">
        <w:rPr>
          <w:rFonts w:ascii="Arial" w:hAnsi="Arial"/>
          <w:szCs w:val="24"/>
        </w:rPr>
        <w:t xml:space="preserve"> die </w:t>
      </w:r>
      <w:proofErr w:type="spellStart"/>
      <w:r w:rsidRPr="00502BFF">
        <w:rPr>
          <w:rFonts w:ascii="Arial" w:hAnsi="Arial"/>
          <w:szCs w:val="24"/>
          <w:u w:val="single"/>
        </w:rPr>
        <w:t>genauen</w:t>
      </w:r>
      <w:proofErr w:type="spellEnd"/>
      <w:r w:rsidRPr="00502BFF">
        <w:rPr>
          <w:rFonts w:ascii="Arial" w:hAnsi="Arial"/>
          <w:szCs w:val="24"/>
        </w:rPr>
        <w:t xml:space="preserve"> </w:t>
      </w:r>
      <w:proofErr w:type="spellStart"/>
      <w:r w:rsidRPr="00502BFF">
        <w:rPr>
          <w:rFonts w:ascii="Arial" w:hAnsi="Arial"/>
          <w:szCs w:val="24"/>
        </w:rPr>
        <w:t>Komponenten</w:t>
      </w:r>
      <w:proofErr w:type="spellEnd"/>
      <w:r w:rsidRPr="00502BFF">
        <w:rPr>
          <w:rFonts w:ascii="Arial" w:hAnsi="Arial"/>
          <w:szCs w:val="24"/>
        </w:rPr>
        <w:t xml:space="preserve"> an (d. h. </w:t>
      </w:r>
      <w:proofErr w:type="spellStart"/>
      <w:r w:rsidRPr="00502BFF">
        <w:rPr>
          <w:rFonts w:ascii="Arial" w:hAnsi="Arial"/>
          <w:szCs w:val="24"/>
        </w:rPr>
        <w:t>Hersteller</w:t>
      </w:r>
      <w:proofErr w:type="spellEnd"/>
      <w:r w:rsidRPr="00502BFF">
        <w:rPr>
          <w:rFonts w:ascii="Arial" w:hAnsi="Arial"/>
          <w:szCs w:val="24"/>
        </w:rPr>
        <w:t xml:space="preserve"> und </w:t>
      </w:r>
      <w:proofErr w:type="spellStart"/>
      <w:r w:rsidRPr="00502BFF">
        <w:rPr>
          <w:rFonts w:ascii="Arial" w:hAnsi="Arial"/>
          <w:szCs w:val="24"/>
        </w:rPr>
        <w:t>Herstellerartikelnummer</w:t>
      </w:r>
      <w:proofErr w:type="spellEnd"/>
      <w:r w:rsidRPr="00502BFF">
        <w:rPr>
          <w:rFonts w:ascii="Arial" w:hAnsi="Arial"/>
          <w:szCs w:val="24"/>
        </w:rPr>
        <w:t xml:space="preserve">), die </w:t>
      </w:r>
      <w:proofErr w:type="spellStart"/>
      <w:r w:rsidRPr="00502BFF">
        <w:rPr>
          <w:rFonts w:ascii="Arial" w:hAnsi="Arial"/>
          <w:szCs w:val="24"/>
        </w:rPr>
        <w:t>im</w:t>
      </w:r>
      <w:proofErr w:type="spellEnd"/>
      <w:r w:rsidRPr="00502BFF">
        <w:rPr>
          <w:rFonts w:ascii="Arial" w:hAnsi="Arial"/>
          <w:szCs w:val="24"/>
        </w:rPr>
        <w:t xml:space="preserve"> </w:t>
      </w:r>
      <w:proofErr w:type="spellStart"/>
      <w:r w:rsidRPr="00502BFF">
        <w:rPr>
          <w:rFonts w:ascii="Arial" w:hAnsi="Arial"/>
          <w:szCs w:val="24"/>
        </w:rPr>
        <w:t>Produkt</w:t>
      </w:r>
      <w:proofErr w:type="spellEnd"/>
      <w:r w:rsidRPr="00502BFF">
        <w:rPr>
          <w:rFonts w:ascii="Arial" w:hAnsi="Arial"/>
          <w:szCs w:val="24"/>
        </w:rPr>
        <w:t xml:space="preserve"> </w:t>
      </w:r>
      <w:proofErr w:type="spellStart"/>
      <w:r w:rsidRPr="00502BFF">
        <w:rPr>
          <w:rFonts w:ascii="Arial" w:hAnsi="Arial"/>
          <w:szCs w:val="24"/>
        </w:rPr>
        <w:t>verwendet</w:t>
      </w:r>
      <w:proofErr w:type="spellEnd"/>
      <w:r w:rsidRPr="00502BFF">
        <w:rPr>
          <w:rFonts w:ascii="Arial" w:hAnsi="Arial"/>
          <w:szCs w:val="24"/>
        </w:rPr>
        <w:t xml:space="preserve"> </w:t>
      </w:r>
      <w:proofErr w:type="spellStart"/>
      <w:r w:rsidRPr="00502BFF">
        <w:rPr>
          <w:rFonts w:ascii="Arial" w:hAnsi="Arial"/>
          <w:szCs w:val="24"/>
        </w:rPr>
        <w:t>werden</w:t>
      </w:r>
      <w:proofErr w:type="spellEnd"/>
      <w:r w:rsidRPr="00502BFF">
        <w:rPr>
          <w:rFonts w:ascii="Arial" w:hAnsi="Arial"/>
          <w:szCs w:val="24"/>
        </w:rPr>
        <w:t xml:space="preserve">. X-Rite </w:t>
      </w:r>
      <w:proofErr w:type="spellStart"/>
      <w:r w:rsidRPr="00502BFF">
        <w:rPr>
          <w:rFonts w:ascii="Arial" w:hAnsi="Arial"/>
          <w:szCs w:val="24"/>
        </w:rPr>
        <w:t>verwaltet</w:t>
      </w:r>
      <w:proofErr w:type="spellEnd"/>
      <w:r w:rsidRPr="00502BFF">
        <w:rPr>
          <w:rFonts w:ascii="Arial" w:hAnsi="Arial"/>
          <w:szCs w:val="24"/>
        </w:rPr>
        <w:t xml:space="preserve"> die </w:t>
      </w:r>
      <w:proofErr w:type="spellStart"/>
      <w:r w:rsidRPr="00502BFF">
        <w:rPr>
          <w:rFonts w:ascii="Arial" w:hAnsi="Arial"/>
          <w:szCs w:val="24"/>
        </w:rPr>
        <w:t>Informationen</w:t>
      </w:r>
      <w:proofErr w:type="spellEnd"/>
      <w:r w:rsidRPr="00502BFF">
        <w:rPr>
          <w:rFonts w:ascii="Arial" w:hAnsi="Arial"/>
          <w:szCs w:val="24"/>
        </w:rPr>
        <w:t xml:space="preserve"> </w:t>
      </w:r>
      <w:proofErr w:type="spellStart"/>
      <w:r w:rsidRPr="00502BFF">
        <w:rPr>
          <w:rFonts w:ascii="Arial" w:hAnsi="Arial"/>
          <w:szCs w:val="24"/>
        </w:rPr>
        <w:t>dieser</w:t>
      </w:r>
      <w:proofErr w:type="spellEnd"/>
      <w:r w:rsidRPr="00502BFF">
        <w:rPr>
          <w:rFonts w:ascii="Arial" w:hAnsi="Arial"/>
          <w:szCs w:val="24"/>
        </w:rPr>
        <w:t xml:space="preserve"> </w:t>
      </w:r>
      <w:proofErr w:type="spellStart"/>
      <w:r w:rsidRPr="00502BFF">
        <w:rPr>
          <w:rFonts w:ascii="Arial" w:hAnsi="Arial"/>
          <w:szCs w:val="24"/>
        </w:rPr>
        <w:t>Auflagen</w:t>
      </w:r>
      <w:proofErr w:type="spellEnd"/>
      <w:r w:rsidRPr="00502BFF">
        <w:rPr>
          <w:rFonts w:ascii="Arial" w:hAnsi="Arial"/>
          <w:szCs w:val="24"/>
        </w:rPr>
        <w:t xml:space="preserve"> der </w:t>
      </w:r>
      <w:proofErr w:type="spellStart"/>
      <w:r w:rsidRPr="00502BFF">
        <w:rPr>
          <w:rFonts w:ascii="Arial" w:hAnsi="Arial"/>
          <w:szCs w:val="24"/>
        </w:rPr>
        <w:t>Teile</w:t>
      </w:r>
      <w:proofErr w:type="spellEnd"/>
      <w:r w:rsidRPr="00502BFF">
        <w:rPr>
          <w:rFonts w:ascii="Arial" w:hAnsi="Arial"/>
          <w:szCs w:val="24"/>
        </w:rPr>
        <w:t xml:space="preserve">, und </w:t>
      </w:r>
      <w:proofErr w:type="spellStart"/>
      <w:r w:rsidRPr="00502BFF">
        <w:rPr>
          <w:rFonts w:ascii="Arial" w:hAnsi="Arial"/>
          <w:szCs w:val="24"/>
        </w:rPr>
        <w:t>diese</w:t>
      </w:r>
      <w:proofErr w:type="spellEnd"/>
      <w:r w:rsidRPr="00502BFF">
        <w:rPr>
          <w:rFonts w:ascii="Arial" w:hAnsi="Arial"/>
          <w:szCs w:val="24"/>
        </w:rPr>
        <w:t xml:space="preserve"> </w:t>
      </w:r>
      <w:proofErr w:type="spellStart"/>
      <w:r w:rsidRPr="00502BFF">
        <w:rPr>
          <w:rFonts w:ascii="Arial" w:hAnsi="Arial"/>
          <w:szCs w:val="24"/>
        </w:rPr>
        <w:t>müssen</w:t>
      </w:r>
      <w:proofErr w:type="spellEnd"/>
      <w:r w:rsidRPr="00502BFF">
        <w:rPr>
          <w:rFonts w:ascii="Arial" w:hAnsi="Arial"/>
          <w:szCs w:val="24"/>
        </w:rPr>
        <w:t xml:space="preserve"> </w:t>
      </w:r>
      <w:proofErr w:type="spellStart"/>
      <w:r w:rsidRPr="00502BFF">
        <w:rPr>
          <w:rFonts w:ascii="Arial" w:hAnsi="Arial"/>
          <w:szCs w:val="24"/>
        </w:rPr>
        <w:t>nicht</w:t>
      </w:r>
      <w:proofErr w:type="spellEnd"/>
      <w:r w:rsidRPr="00502BFF">
        <w:rPr>
          <w:rFonts w:ascii="Arial" w:hAnsi="Arial"/>
          <w:szCs w:val="24"/>
        </w:rPr>
        <w:t xml:space="preserve"> </w:t>
      </w:r>
      <w:proofErr w:type="spellStart"/>
      <w:r w:rsidRPr="00502BFF">
        <w:rPr>
          <w:rFonts w:ascii="Arial" w:hAnsi="Arial"/>
          <w:szCs w:val="24"/>
        </w:rPr>
        <w:t>einzeln</w:t>
      </w:r>
      <w:proofErr w:type="spellEnd"/>
      <w:r w:rsidRPr="00502BFF">
        <w:rPr>
          <w:rFonts w:ascii="Arial" w:hAnsi="Arial"/>
          <w:szCs w:val="24"/>
        </w:rPr>
        <w:t xml:space="preserve"> auf dem </w:t>
      </w:r>
      <w:proofErr w:type="spellStart"/>
      <w:r w:rsidRPr="00502BFF">
        <w:rPr>
          <w:rFonts w:ascii="Arial" w:hAnsi="Arial"/>
          <w:szCs w:val="24"/>
        </w:rPr>
        <w:t>Arbeitblatt</w:t>
      </w:r>
      <w:proofErr w:type="spellEnd"/>
      <w:r w:rsidRPr="00502BFF">
        <w:rPr>
          <w:rFonts w:ascii="Arial" w:hAnsi="Arial"/>
          <w:szCs w:val="24"/>
        </w:rPr>
        <w:t xml:space="preserve"> </w:t>
      </w:r>
      <w:proofErr w:type="spellStart"/>
      <w:r w:rsidRPr="00502BFF">
        <w:rPr>
          <w:rFonts w:ascii="Arial" w:hAnsi="Arial"/>
          <w:szCs w:val="24"/>
        </w:rPr>
        <w:t>aufgeführt</w:t>
      </w:r>
      <w:proofErr w:type="spellEnd"/>
      <w:r w:rsidRPr="00502BFF">
        <w:rPr>
          <w:rFonts w:ascii="Arial" w:hAnsi="Arial"/>
          <w:szCs w:val="24"/>
        </w:rPr>
        <w:t xml:space="preserve"> </w:t>
      </w:r>
      <w:proofErr w:type="spellStart"/>
      <w:r w:rsidRPr="00502BFF">
        <w:rPr>
          <w:rFonts w:ascii="Arial" w:hAnsi="Arial"/>
          <w:szCs w:val="24"/>
        </w:rPr>
        <w:t>werden</w:t>
      </w:r>
      <w:proofErr w:type="spellEnd"/>
      <w:r w:rsidRPr="00502BFF">
        <w:rPr>
          <w:rFonts w:ascii="Arial" w:hAnsi="Arial"/>
          <w:szCs w:val="24"/>
        </w:rPr>
        <w:t xml:space="preserve">. Der </w:t>
      </w:r>
      <w:proofErr w:type="spellStart"/>
      <w:r w:rsidRPr="00502BFF">
        <w:rPr>
          <w:rFonts w:ascii="Arial" w:hAnsi="Arial"/>
          <w:szCs w:val="24"/>
        </w:rPr>
        <w:t>Lieferant</w:t>
      </w:r>
      <w:proofErr w:type="spellEnd"/>
      <w:r w:rsidRPr="00502BFF">
        <w:rPr>
          <w:rFonts w:ascii="Arial" w:hAnsi="Arial"/>
          <w:szCs w:val="24"/>
        </w:rPr>
        <w:t xml:space="preserve"> muss dies auf dem </w:t>
      </w:r>
      <w:proofErr w:type="spellStart"/>
      <w:r w:rsidRPr="00502BFF">
        <w:rPr>
          <w:rFonts w:ascii="Arial" w:hAnsi="Arial"/>
          <w:szCs w:val="24"/>
        </w:rPr>
        <w:t>Arbeitsblatt</w:t>
      </w:r>
      <w:proofErr w:type="spellEnd"/>
      <w:r w:rsidRPr="00502BFF">
        <w:rPr>
          <w:rFonts w:ascii="Arial" w:hAnsi="Arial"/>
          <w:szCs w:val="24"/>
        </w:rPr>
        <w:t xml:space="preserve"> so </w:t>
      </w:r>
      <w:proofErr w:type="spellStart"/>
      <w:r w:rsidRPr="00502BFF">
        <w:rPr>
          <w:rFonts w:ascii="Arial" w:hAnsi="Arial"/>
          <w:szCs w:val="24"/>
        </w:rPr>
        <w:t>oder</w:t>
      </w:r>
      <w:proofErr w:type="spellEnd"/>
      <w:r w:rsidRPr="00502BFF">
        <w:rPr>
          <w:rFonts w:ascii="Arial" w:hAnsi="Arial"/>
          <w:szCs w:val="24"/>
        </w:rPr>
        <w:t xml:space="preserve"> </w:t>
      </w:r>
      <w:proofErr w:type="spellStart"/>
      <w:r w:rsidRPr="00502BFF">
        <w:rPr>
          <w:rFonts w:ascii="Arial" w:hAnsi="Arial"/>
          <w:szCs w:val="24"/>
        </w:rPr>
        <w:t>ähnlich</w:t>
      </w:r>
      <w:proofErr w:type="spellEnd"/>
      <w:r w:rsidRPr="00502BFF">
        <w:rPr>
          <w:rFonts w:ascii="Arial" w:hAnsi="Arial"/>
          <w:szCs w:val="24"/>
        </w:rPr>
        <w:t xml:space="preserve"> </w:t>
      </w:r>
      <w:proofErr w:type="spellStart"/>
      <w:r w:rsidRPr="00502BFF">
        <w:rPr>
          <w:rFonts w:ascii="Arial" w:hAnsi="Arial"/>
          <w:szCs w:val="24"/>
        </w:rPr>
        <w:t>angeben</w:t>
      </w:r>
      <w:proofErr w:type="spellEnd"/>
      <w:r w:rsidRPr="00502BFF">
        <w:rPr>
          <w:rFonts w:ascii="Arial" w:hAnsi="Arial"/>
          <w:szCs w:val="24"/>
        </w:rPr>
        <w:t xml:space="preserve">: </w:t>
      </w:r>
      <w:r w:rsidRPr="00502BFF">
        <w:rPr>
          <w:rFonts w:ascii="Arial" w:eastAsia="Times New Roman" w:hAnsi="Arial"/>
          <w:szCs w:val="24"/>
        </w:rPr>
        <w:t>“</w:t>
      </w:r>
      <w:proofErr w:type="spellStart"/>
      <w:r w:rsidRPr="00502BFF">
        <w:rPr>
          <w:rFonts w:ascii="Arial" w:eastAsia="Times New Roman" w:hAnsi="Arial"/>
          <w:szCs w:val="24"/>
        </w:rPr>
        <w:t>Komponenten</w:t>
      </w:r>
      <w:proofErr w:type="spellEnd"/>
      <w:r w:rsidRPr="00502BFF">
        <w:rPr>
          <w:rFonts w:ascii="Arial" w:eastAsia="Times New Roman" w:hAnsi="Arial"/>
          <w:szCs w:val="24"/>
        </w:rPr>
        <w:t xml:space="preserve">, die in </w:t>
      </w:r>
      <w:proofErr w:type="spellStart"/>
      <w:r w:rsidRPr="00502BFF">
        <w:rPr>
          <w:rFonts w:ascii="Arial" w:eastAsia="Times New Roman" w:hAnsi="Arial"/>
          <w:szCs w:val="24"/>
        </w:rPr>
        <w:t>diesem</w:t>
      </w:r>
      <w:proofErr w:type="spellEnd"/>
      <w:r w:rsidRPr="00502BFF">
        <w:rPr>
          <w:rFonts w:ascii="Arial" w:eastAsia="Times New Roman" w:hAnsi="Arial"/>
          <w:szCs w:val="24"/>
        </w:rPr>
        <w:t xml:space="preserve"> </w:t>
      </w:r>
      <w:proofErr w:type="spellStart"/>
      <w:r w:rsidRPr="00502BFF">
        <w:rPr>
          <w:rFonts w:ascii="Arial" w:eastAsia="Times New Roman" w:hAnsi="Arial"/>
          <w:szCs w:val="24"/>
        </w:rPr>
        <w:t>Produkt</w:t>
      </w:r>
      <w:proofErr w:type="spellEnd"/>
      <w:r w:rsidRPr="00502BFF">
        <w:rPr>
          <w:rFonts w:ascii="Arial" w:eastAsia="Times New Roman" w:hAnsi="Arial"/>
          <w:szCs w:val="24"/>
        </w:rPr>
        <w:t xml:space="preserve"> </w:t>
      </w:r>
      <w:proofErr w:type="spellStart"/>
      <w:r w:rsidRPr="00502BFF">
        <w:rPr>
          <w:rFonts w:ascii="Arial" w:eastAsia="Times New Roman" w:hAnsi="Arial"/>
          <w:szCs w:val="24"/>
        </w:rPr>
        <w:t>verwendet</w:t>
      </w:r>
      <w:proofErr w:type="spellEnd"/>
      <w:r w:rsidRPr="00502BFF">
        <w:rPr>
          <w:rFonts w:ascii="Arial" w:eastAsia="Times New Roman" w:hAnsi="Arial"/>
          <w:szCs w:val="24"/>
        </w:rPr>
        <w:t xml:space="preserve"> </w:t>
      </w:r>
      <w:proofErr w:type="spellStart"/>
      <w:r w:rsidRPr="00502BFF">
        <w:rPr>
          <w:rFonts w:ascii="Arial" w:eastAsia="Times New Roman" w:hAnsi="Arial"/>
          <w:szCs w:val="24"/>
        </w:rPr>
        <w:t>werden</w:t>
      </w:r>
      <w:proofErr w:type="spellEnd"/>
      <w:r w:rsidRPr="00502BFF">
        <w:rPr>
          <w:rFonts w:ascii="Arial" w:eastAsia="Times New Roman" w:hAnsi="Arial"/>
          <w:szCs w:val="24"/>
        </w:rPr>
        <w:t xml:space="preserve"> </w:t>
      </w:r>
      <w:proofErr w:type="spellStart"/>
      <w:r w:rsidRPr="00502BFF">
        <w:rPr>
          <w:rFonts w:ascii="Arial" w:eastAsia="Times New Roman" w:hAnsi="Arial"/>
          <w:szCs w:val="24"/>
        </w:rPr>
        <w:t>halten</w:t>
      </w:r>
      <w:proofErr w:type="spellEnd"/>
      <w:r w:rsidRPr="00502BFF">
        <w:rPr>
          <w:rFonts w:ascii="Arial" w:eastAsia="Times New Roman" w:hAnsi="Arial"/>
          <w:szCs w:val="24"/>
        </w:rPr>
        <w:t xml:space="preserve"> die </w:t>
      </w:r>
      <w:proofErr w:type="spellStart"/>
      <w:r w:rsidRPr="00502BFF">
        <w:rPr>
          <w:rFonts w:ascii="Arial" w:eastAsia="Times New Roman" w:hAnsi="Arial"/>
          <w:szCs w:val="24"/>
        </w:rPr>
        <w:t>Richtlinien</w:t>
      </w:r>
      <w:proofErr w:type="spellEnd"/>
      <w:r w:rsidRPr="00502BFF">
        <w:rPr>
          <w:rFonts w:ascii="Arial" w:eastAsia="Times New Roman" w:hAnsi="Arial"/>
          <w:szCs w:val="24"/>
        </w:rPr>
        <w:t xml:space="preserve"> der X-Rite </w:t>
      </w:r>
      <w:proofErr w:type="spellStart"/>
      <w:r w:rsidRPr="00502BFF">
        <w:rPr>
          <w:rFonts w:ascii="Arial" w:eastAsia="Times New Roman" w:hAnsi="Arial"/>
          <w:szCs w:val="24"/>
        </w:rPr>
        <w:t>Materiallisten</w:t>
      </w:r>
      <w:proofErr w:type="spellEnd"/>
      <w:r w:rsidRPr="00502BFF">
        <w:rPr>
          <w:rFonts w:ascii="Arial" w:eastAsia="Times New Roman" w:hAnsi="Arial"/>
          <w:szCs w:val="24"/>
        </w:rPr>
        <w:t xml:space="preserve"> (BOM) und/</w:t>
      </w:r>
      <w:proofErr w:type="spellStart"/>
      <w:r w:rsidRPr="00502BFF">
        <w:rPr>
          <w:rFonts w:ascii="Arial" w:eastAsia="Times New Roman" w:hAnsi="Arial"/>
          <w:szCs w:val="24"/>
        </w:rPr>
        <w:t>oder</w:t>
      </w:r>
      <w:proofErr w:type="spellEnd"/>
      <w:r w:rsidRPr="00502BFF">
        <w:rPr>
          <w:rFonts w:ascii="Arial" w:eastAsia="Times New Roman" w:hAnsi="Arial"/>
          <w:szCs w:val="24"/>
        </w:rPr>
        <w:t xml:space="preserve"> von X-Rite </w:t>
      </w:r>
      <w:proofErr w:type="spellStart"/>
      <w:r w:rsidRPr="00502BFF">
        <w:rPr>
          <w:rFonts w:ascii="Arial" w:eastAsia="Times New Roman" w:hAnsi="Arial"/>
          <w:szCs w:val="24"/>
        </w:rPr>
        <w:t>akzeptierten</w:t>
      </w:r>
      <w:proofErr w:type="spellEnd"/>
      <w:r w:rsidRPr="00502BFF">
        <w:rPr>
          <w:rFonts w:ascii="Arial" w:eastAsia="Times New Roman" w:hAnsi="Arial"/>
          <w:szCs w:val="24"/>
        </w:rPr>
        <w:t xml:space="preserve"> </w:t>
      </w:r>
      <w:proofErr w:type="spellStart"/>
      <w:r w:rsidRPr="00502BFF">
        <w:rPr>
          <w:rFonts w:ascii="Arial" w:eastAsia="Times New Roman" w:hAnsi="Arial"/>
          <w:szCs w:val="24"/>
        </w:rPr>
        <w:t>Alternativen</w:t>
      </w:r>
      <w:proofErr w:type="spellEnd"/>
      <w:r w:rsidRPr="00502BFF">
        <w:rPr>
          <w:rFonts w:ascii="Arial" w:eastAsia="Times New Roman" w:hAnsi="Arial"/>
          <w:szCs w:val="24"/>
        </w:rPr>
        <w:t xml:space="preserve"> </w:t>
      </w:r>
      <w:proofErr w:type="spellStart"/>
      <w:r w:rsidRPr="00502BFF">
        <w:rPr>
          <w:rFonts w:ascii="Arial" w:eastAsia="Times New Roman" w:hAnsi="Arial"/>
          <w:szCs w:val="24"/>
        </w:rPr>
        <w:t>ein</w:t>
      </w:r>
      <w:proofErr w:type="spellEnd"/>
      <w:r w:rsidRPr="00502BFF">
        <w:rPr>
          <w:rFonts w:ascii="Arial" w:eastAsia="Times New Roman" w:hAnsi="Arial"/>
          <w:szCs w:val="24"/>
        </w:rPr>
        <w:t>.”</w:t>
      </w:r>
    </w:p>
    <w:p w14:paraId="5FBE74DB" w14:textId="77777777" w:rsidR="00A25A2C" w:rsidRPr="00502BFF" w:rsidRDefault="00A25A2C" w:rsidP="00C5606C">
      <w:pPr>
        <w:pStyle w:val="BodyText"/>
        <w:numPr>
          <w:ilvl w:val="1"/>
          <w:numId w:val="10"/>
        </w:numPr>
        <w:spacing w:line="276" w:lineRule="auto"/>
        <w:jc w:val="left"/>
        <w:rPr>
          <w:rFonts w:ascii="Arial" w:hAnsi="Arial" w:cs="Arial"/>
        </w:rPr>
      </w:pPr>
      <w:r w:rsidRPr="00502BFF">
        <w:rPr>
          <w:rFonts w:ascii="Arial" w:eastAsia="Times New Roman" w:hAnsi="Arial"/>
          <w:szCs w:val="24"/>
          <w:lang w:val="de-DE"/>
        </w:rPr>
        <w:t>Komponenten, Teile oder Werkstoffe, die im Produkt verwendet, aber von X-Rite nicht genau spezifiziert wurden, müssen vom Lieferanten im Arbeitsblatt Stoffangaben aufgeführt werden. Komponenten, Teile oder Werkstoffe, die im Produkt verwendet, aber von X-Rite nicht genau spezifiziert wurden, müssen vom Lieferanten im Arbeitsblatt Stoffangaben aufgeführt und als kompatibel bestätigt werden.</w:t>
      </w:r>
    </w:p>
    <w:p w14:paraId="2895D339" w14:textId="77777777" w:rsidR="00A25A2C" w:rsidRPr="00AD16D0" w:rsidRDefault="00A25A2C" w:rsidP="00C5606C">
      <w:pPr>
        <w:pStyle w:val="BodyText"/>
        <w:numPr>
          <w:ilvl w:val="0"/>
          <w:numId w:val="10"/>
        </w:numPr>
        <w:spacing w:line="280" w:lineRule="auto"/>
        <w:jc w:val="left"/>
        <w:rPr>
          <w:rFonts w:ascii="Arial" w:eastAsia="Times New Roman" w:hAnsi="Arial"/>
          <w:szCs w:val="24"/>
        </w:rPr>
      </w:pPr>
      <w:proofErr w:type="spellStart"/>
      <w:r>
        <w:rPr>
          <w:rFonts w:ascii="Arial" w:eastAsia="Times New Roman" w:hAnsi="Arial"/>
          <w:szCs w:val="24"/>
        </w:rPr>
        <w:t>Bitte</w:t>
      </w:r>
      <w:proofErr w:type="spellEnd"/>
      <w:r>
        <w:rPr>
          <w:rFonts w:ascii="Arial" w:eastAsia="Times New Roman" w:hAnsi="Arial"/>
          <w:szCs w:val="24"/>
        </w:rPr>
        <w:t xml:space="preserve"> </w:t>
      </w:r>
      <w:proofErr w:type="spellStart"/>
      <w:r>
        <w:rPr>
          <w:rFonts w:ascii="Arial" w:eastAsia="Times New Roman" w:hAnsi="Arial"/>
          <w:szCs w:val="24"/>
        </w:rPr>
        <w:t>senden</w:t>
      </w:r>
      <w:proofErr w:type="spellEnd"/>
      <w:r>
        <w:rPr>
          <w:rFonts w:ascii="Arial" w:eastAsia="Times New Roman" w:hAnsi="Arial"/>
          <w:szCs w:val="24"/>
        </w:rPr>
        <w:t xml:space="preserve"> Sie das </w:t>
      </w:r>
      <w:proofErr w:type="spellStart"/>
      <w:r>
        <w:rPr>
          <w:rFonts w:ascii="Arial" w:eastAsia="Times New Roman" w:hAnsi="Arial"/>
          <w:szCs w:val="24"/>
        </w:rPr>
        <w:t>ausgefüllte</w:t>
      </w:r>
      <w:proofErr w:type="spellEnd"/>
      <w:r>
        <w:rPr>
          <w:rFonts w:ascii="Arial" w:eastAsia="Times New Roman" w:hAnsi="Arial"/>
          <w:szCs w:val="24"/>
        </w:rPr>
        <w:t xml:space="preserve"> </w:t>
      </w:r>
      <w:proofErr w:type="spellStart"/>
      <w:r>
        <w:rPr>
          <w:rFonts w:ascii="Arial" w:eastAsia="Times New Roman" w:hAnsi="Arial"/>
          <w:szCs w:val="24"/>
        </w:rPr>
        <w:t>Arbeitsblatt</w:t>
      </w:r>
      <w:proofErr w:type="spellEnd"/>
      <w:r>
        <w:rPr>
          <w:rFonts w:ascii="Arial" w:eastAsia="Times New Roman" w:hAnsi="Arial"/>
          <w:szCs w:val="24"/>
        </w:rPr>
        <w:t xml:space="preserve"> </w:t>
      </w:r>
      <w:proofErr w:type="spellStart"/>
      <w:r>
        <w:rPr>
          <w:rFonts w:ascii="Arial" w:eastAsia="Times New Roman" w:hAnsi="Arial"/>
          <w:szCs w:val="24"/>
        </w:rPr>
        <w:t>Stoffangaben</w:t>
      </w:r>
      <w:proofErr w:type="spellEnd"/>
      <w:r>
        <w:rPr>
          <w:rFonts w:ascii="Arial" w:eastAsia="Times New Roman" w:hAnsi="Arial"/>
          <w:szCs w:val="24"/>
        </w:rPr>
        <w:t xml:space="preserve"> an X-Rite NPI/Purchasing </w:t>
      </w:r>
      <w:proofErr w:type="spellStart"/>
      <w:r>
        <w:rPr>
          <w:rFonts w:ascii="Arial" w:eastAsia="Times New Roman" w:hAnsi="Arial"/>
          <w:szCs w:val="24"/>
        </w:rPr>
        <w:t>zurück</w:t>
      </w:r>
      <w:proofErr w:type="spellEnd"/>
      <w:r>
        <w:rPr>
          <w:rFonts w:ascii="Arial" w:eastAsia="Times New Roman" w:hAnsi="Arial"/>
          <w:szCs w:val="24"/>
        </w:rPr>
        <w:t xml:space="preserve"> um </w:t>
      </w:r>
      <w:proofErr w:type="spellStart"/>
      <w:r>
        <w:rPr>
          <w:rFonts w:ascii="Arial" w:eastAsia="Times New Roman" w:hAnsi="Arial"/>
          <w:szCs w:val="24"/>
        </w:rPr>
        <w:t>eine</w:t>
      </w:r>
      <w:proofErr w:type="spellEnd"/>
      <w:r>
        <w:rPr>
          <w:rFonts w:ascii="Arial" w:eastAsia="Times New Roman" w:hAnsi="Arial"/>
          <w:szCs w:val="24"/>
        </w:rPr>
        <w:t xml:space="preserve"> </w:t>
      </w:r>
      <w:proofErr w:type="spellStart"/>
      <w:r>
        <w:rPr>
          <w:rFonts w:ascii="Arial" w:eastAsia="Times New Roman" w:hAnsi="Arial"/>
          <w:szCs w:val="24"/>
        </w:rPr>
        <w:t>Versandermächtigung</w:t>
      </w:r>
      <w:proofErr w:type="spellEnd"/>
      <w:r>
        <w:rPr>
          <w:rFonts w:ascii="Arial" w:eastAsia="Times New Roman" w:hAnsi="Arial"/>
          <w:szCs w:val="24"/>
        </w:rPr>
        <w:t xml:space="preserve"> </w:t>
      </w:r>
      <w:proofErr w:type="spellStart"/>
      <w:r>
        <w:rPr>
          <w:rFonts w:ascii="Arial" w:eastAsia="Times New Roman" w:hAnsi="Arial"/>
          <w:szCs w:val="24"/>
        </w:rPr>
        <w:t>zu</w:t>
      </w:r>
      <w:proofErr w:type="spellEnd"/>
      <w:r>
        <w:rPr>
          <w:rFonts w:ascii="Arial" w:eastAsia="Times New Roman" w:hAnsi="Arial"/>
          <w:szCs w:val="24"/>
        </w:rPr>
        <w:t xml:space="preserve"> </w:t>
      </w:r>
      <w:proofErr w:type="spellStart"/>
      <w:r>
        <w:rPr>
          <w:rFonts w:ascii="Arial" w:eastAsia="Times New Roman" w:hAnsi="Arial"/>
          <w:szCs w:val="24"/>
        </w:rPr>
        <w:t>erhalten</w:t>
      </w:r>
      <w:proofErr w:type="spellEnd"/>
      <w:r>
        <w:rPr>
          <w:rFonts w:ascii="Arial" w:eastAsia="Times New Roman" w:hAnsi="Arial"/>
          <w:szCs w:val="24"/>
        </w:rPr>
        <w:t>.</w:t>
      </w:r>
    </w:p>
    <w:p w14:paraId="16D4E722" w14:textId="77777777" w:rsidR="00A25A2C" w:rsidRPr="00AD16D0" w:rsidRDefault="00A25A2C" w:rsidP="00C5606C">
      <w:pPr>
        <w:pStyle w:val="BodyText"/>
        <w:numPr>
          <w:ilvl w:val="0"/>
          <w:numId w:val="10"/>
        </w:numPr>
        <w:spacing w:line="280" w:lineRule="auto"/>
        <w:ind w:right="720"/>
        <w:jc w:val="left"/>
        <w:rPr>
          <w:rFonts w:ascii="Arial" w:eastAsia="Times New Roman" w:hAnsi="Arial"/>
          <w:szCs w:val="24"/>
        </w:rPr>
      </w:pPr>
      <w:proofErr w:type="spellStart"/>
      <w:r>
        <w:rPr>
          <w:rFonts w:ascii="Arial" w:eastAsia="Times New Roman" w:hAnsi="Arial"/>
          <w:szCs w:val="24"/>
        </w:rPr>
        <w:t>Aktualisieren</w:t>
      </w:r>
      <w:proofErr w:type="spellEnd"/>
      <w:r>
        <w:rPr>
          <w:rFonts w:ascii="Arial" w:eastAsia="Times New Roman" w:hAnsi="Arial"/>
          <w:szCs w:val="24"/>
        </w:rPr>
        <w:t xml:space="preserve"> Sie das </w:t>
      </w:r>
      <w:proofErr w:type="spellStart"/>
      <w:r>
        <w:rPr>
          <w:rFonts w:ascii="Arial" w:eastAsia="Times New Roman" w:hAnsi="Arial"/>
          <w:szCs w:val="24"/>
        </w:rPr>
        <w:t>Arbeitsblatt</w:t>
      </w:r>
      <w:proofErr w:type="spellEnd"/>
      <w:r>
        <w:rPr>
          <w:rFonts w:ascii="Arial" w:eastAsia="Times New Roman" w:hAnsi="Arial"/>
          <w:szCs w:val="24"/>
        </w:rPr>
        <w:t xml:space="preserve"> </w:t>
      </w:r>
      <w:proofErr w:type="spellStart"/>
      <w:r>
        <w:rPr>
          <w:rFonts w:ascii="Arial" w:eastAsia="Times New Roman" w:hAnsi="Arial"/>
          <w:szCs w:val="24"/>
        </w:rPr>
        <w:t>Stoffangaben</w:t>
      </w:r>
      <w:proofErr w:type="spellEnd"/>
      <w:r>
        <w:rPr>
          <w:rFonts w:ascii="Arial" w:eastAsia="Times New Roman" w:hAnsi="Arial"/>
          <w:szCs w:val="24"/>
        </w:rPr>
        <w:t xml:space="preserve"> und </w:t>
      </w:r>
      <w:proofErr w:type="spellStart"/>
      <w:r>
        <w:rPr>
          <w:rFonts w:ascii="Arial" w:eastAsia="Times New Roman" w:hAnsi="Arial"/>
          <w:szCs w:val="24"/>
        </w:rPr>
        <w:t>senden</w:t>
      </w:r>
      <w:proofErr w:type="spellEnd"/>
      <w:r>
        <w:rPr>
          <w:rFonts w:ascii="Arial" w:eastAsia="Times New Roman" w:hAnsi="Arial"/>
          <w:szCs w:val="24"/>
        </w:rPr>
        <w:t xml:space="preserve"> Sie es </w:t>
      </w:r>
      <w:proofErr w:type="spellStart"/>
      <w:r>
        <w:rPr>
          <w:rFonts w:ascii="Arial" w:eastAsia="Times New Roman" w:hAnsi="Arial"/>
          <w:szCs w:val="24"/>
        </w:rPr>
        <w:t>erneut</w:t>
      </w:r>
      <w:proofErr w:type="spellEnd"/>
      <w:r>
        <w:rPr>
          <w:rFonts w:ascii="Arial" w:eastAsia="Times New Roman" w:hAnsi="Arial"/>
          <w:szCs w:val="24"/>
        </w:rPr>
        <w:t xml:space="preserve"> </w:t>
      </w:r>
      <w:proofErr w:type="spellStart"/>
      <w:r>
        <w:rPr>
          <w:rFonts w:ascii="Arial" w:eastAsia="Times New Roman" w:hAnsi="Arial"/>
          <w:szCs w:val="24"/>
        </w:rPr>
        <w:t>ein</w:t>
      </w:r>
      <w:proofErr w:type="spellEnd"/>
      <w:r>
        <w:rPr>
          <w:rFonts w:ascii="Arial" w:eastAsia="Times New Roman" w:hAnsi="Arial"/>
          <w:szCs w:val="24"/>
        </w:rPr>
        <w:t xml:space="preserve">, </w:t>
      </w:r>
      <w:proofErr w:type="spellStart"/>
      <w:r>
        <w:rPr>
          <w:rFonts w:ascii="Arial" w:eastAsia="Times New Roman" w:hAnsi="Arial"/>
          <w:szCs w:val="24"/>
        </w:rPr>
        <w:t>wenn</w:t>
      </w:r>
      <w:proofErr w:type="spellEnd"/>
      <w:r>
        <w:rPr>
          <w:rFonts w:ascii="Arial" w:eastAsia="Times New Roman" w:hAnsi="Arial"/>
          <w:szCs w:val="24"/>
        </w:rPr>
        <w:t>:</w:t>
      </w:r>
    </w:p>
    <w:p w14:paraId="00B3CA63" w14:textId="77777777" w:rsidR="00A25A2C" w:rsidRPr="00FE79EE" w:rsidRDefault="00A25A2C" w:rsidP="00C5606C">
      <w:pPr>
        <w:pStyle w:val="BodyText"/>
        <w:numPr>
          <w:ilvl w:val="1"/>
          <w:numId w:val="10"/>
        </w:numPr>
        <w:spacing w:line="280" w:lineRule="auto"/>
        <w:ind w:right="720"/>
        <w:jc w:val="left"/>
        <w:rPr>
          <w:rFonts w:ascii="Arial" w:eastAsia="Times New Roman" w:hAnsi="Arial"/>
          <w:szCs w:val="24"/>
        </w:rPr>
      </w:pPr>
      <w:proofErr w:type="spellStart"/>
      <w:r>
        <w:rPr>
          <w:rFonts w:ascii="Arial" w:hAnsi="Arial"/>
          <w:szCs w:val="24"/>
        </w:rPr>
        <w:t>Änderungen</w:t>
      </w:r>
      <w:proofErr w:type="spellEnd"/>
      <w:r>
        <w:rPr>
          <w:rFonts w:ascii="Arial" w:hAnsi="Arial"/>
          <w:szCs w:val="24"/>
        </w:rPr>
        <w:t xml:space="preserve"> an </w:t>
      </w:r>
      <w:proofErr w:type="spellStart"/>
      <w:r>
        <w:rPr>
          <w:rFonts w:ascii="Arial" w:hAnsi="Arial"/>
          <w:szCs w:val="24"/>
        </w:rPr>
        <w:t>Teilen</w:t>
      </w:r>
      <w:proofErr w:type="spellEnd"/>
      <w:r>
        <w:rPr>
          <w:rFonts w:ascii="Arial" w:hAnsi="Arial"/>
          <w:szCs w:val="24"/>
        </w:rPr>
        <w:t xml:space="preserve"> </w:t>
      </w:r>
      <w:proofErr w:type="spellStart"/>
      <w:r>
        <w:rPr>
          <w:rFonts w:ascii="Arial" w:hAnsi="Arial"/>
          <w:szCs w:val="24"/>
        </w:rPr>
        <w:t>oder</w:t>
      </w:r>
      <w:proofErr w:type="spellEnd"/>
      <w:r>
        <w:rPr>
          <w:rFonts w:ascii="Arial" w:hAnsi="Arial"/>
          <w:szCs w:val="24"/>
        </w:rPr>
        <w:t xml:space="preserve"> </w:t>
      </w:r>
      <w:proofErr w:type="spellStart"/>
      <w:r>
        <w:rPr>
          <w:rFonts w:ascii="Arial" w:hAnsi="Arial"/>
          <w:szCs w:val="24"/>
        </w:rPr>
        <w:t>Werkstoffen</w:t>
      </w:r>
      <w:proofErr w:type="spellEnd"/>
      <w:r>
        <w:rPr>
          <w:rFonts w:ascii="Arial" w:hAnsi="Arial"/>
          <w:szCs w:val="24"/>
        </w:rPr>
        <w:t xml:space="preserve"> </w:t>
      </w:r>
      <w:proofErr w:type="spellStart"/>
      <w:r>
        <w:rPr>
          <w:rFonts w:ascii="Arial" w:hAnsi="Arial"/>
          <w:szCs w:val="24"/>
        </w:rPr>
        <w:t>passieren</w:t>
      </w:r>
      <w:proofErr w:type="spellEnd"/>
      <w:r>
        <w:rPr>
          <w:rFonts w:ascii="Arial" w:hAnsi="Arial"/>
          <w:szCs w:val="24"/>
        </w:rPr>
        <w:t xml:space="preserve">. HINWEIS:  </w:t>
      </w:r>
      <w:r>
        <w:rPr>
          <w:rFonts w:ascii="Arial" w:eastAsia="Times New Roman" w:hAnsi="Arial"/>
          <w:szCs w:val="24"/>
        </w:rPr>
        <w:t xml:space="preserve">Der </w:t>
      </w:r>
      <w:proofErr w:type="spellStart"/>
      <w:r>
        <w:rPr>
          <w:rFonts w:ascii="Arial" w:eastAsia="Times New Roman" w:hAnsi="Arial"/>
          <w:szCs w:val="24"/>
        </w:rPr>
        <w:t>Wechsel</w:t>
      </w:r>
      <w:proofErr w:type="spellEnd"/>
      <w:r>
        <w:rPr>
          <w:rFonts w:ascii="Arial" w:eastAsia="Times New Roman" w:hAnsi="Arial"/>
          <w:szCs w:val="24"/>
        </w:rPr>
        <w:t xml:space="preserve"> auf </w:t>
      </w:r>
      <w:proofErr w:type="spellStart"/>
      <w:r>
        <w:rPr>
          <w:rFonts w:ascii="Arial" w:eastAsia="Times New Roman" w:hAnsi="Arial"/>
          <w:szCs w:val="24"/>
        </w:rPr>
        <w:t>ein</w:t>
      </w:r>
      <w:proofErr w:type="spellEnd"/>
      <w:r>
        <w:rPr>
          <w:rFonts w:ascii="Arial" w:eastAsia="Times New Roman" w:hAnsi="Arial"/>
          <w:szCs w:val="24"/>
        </w:rPr>
        <w:t xml:space="preserve"> </w:t>
      </w:r>
      <w:proofErr w:type="spellStart"/>
      <w:r>
        <w:rPr>
          <w:rFonts w:ascii="Arial" w:eastAsia="Times New Roman" w:hAnsi="Arial"/>
          <w:szCs w:val="24"/>
        </w:rPr>
        <w:t>Teil</w:t>
      </w:r>
      <w:proofErr w:type="spellEnd"/>
      <w:r>
        <w:rPr>
          <w:rFonts w:ascii="Arial" w:eastAsia="Times New Roman" w:hAnsi="Arial"/>
          <w:szCs w:val="24"/>
        </w:rPr>
        <w:t xml:space="preserve">, das die </w:t>
      </w:r>
      <w:proofErr w:type="spellStart"/>
      <w:r>
        <w:rPr>
          <w:rFonts w:ascii="Arial" w:eastAsia="Times New Roman" w:hAnsi="Arial"/>
          <w:szCs w:val="24"/>
        </w:rPr>
        <w:t>Richtlinien</w:t>
      </w:r>
      <w:proofErr w:type="spellEnd"/>
      <w:r>
        <w:rPr>
          <w:rFonts w:ascii="Arial" w:eastAsia="Times New Roman" w:hAnsi="Arial"/>
          <w:szCs w:val="24"/>
        </w:rPr>
        <w:t xml:space="preserve"> </w:t>
      </w:r>
      <w:proofErr w:type="spellStart"/>
      <w:r>
        <w:rPr>
          <w:rFonts w:ascii="Arial" w:eastAsia="Times New Roman" w:hAnsi="Arial"/>
          <w:szCs w:val="24"/>
        </w:rPr>
        <w:t>nur</w:t>
      </w:r>
      <w:proofErr w:type="spellEnd"/>
      <w:r>
        <w:rPr>
          <w:rFonts w:ascii="Arial" w:eastAsia="Times New Roman" w:hAnsi="Arial"/>
          <w:szCs w:val="24"/>
        </w:rPr>
        <w:t xml:space="preserve"> </w:t>
      </w:r>
      <w:proofErr w:type="spellStart"/>
      <w:r>
        <w:rPr>
          <w:rFonts w:ascii="Arial" w:eastAsia="Times New Roman" w:hAnsi="Arial"/>
          <w:szCs w:val="24"/>
        </w:rPr>
        <w:t>zu</w:t>
      </w:r>
      <w:proofErr w:type="spellEnd"/>
      <w:r>
        <w:rPr>
          <w:rFonts w:ascii="Arial" w:eastAsia="Times New Roman" w:hAnsi="Arial"/>
          <w:szCs w:val="24"/>
        </w:rPr>
        <w:t xml:space="preserve"> </w:t>
      </w:r>
      <w:proofErr w:type="spellStart"/>
      <w:r>
        <w:rPr>
          <w:rFonts w:ascii="Arial" w:eastAsia="Times New Roman" w:hAnsi="Arial"/>
          <w:szCs w:val="24"/>
        </w:rPr>
        <w:t>einem</w:t>
      </w:r>
      <w:proofErr w:type="spellEnd"/>
      <w:r>
        <w:rPr>
          <w:rFonts w:ascii="Arial" w:eastAsia="Times New Roman" w:hAnsi="Arial"/>
          <w:szCs w:val="24"/>
        </w:rPr>
        <w:t xml:space="preserve"> </w:t>
      </w:r>
      <w:proofErr w:type="spellStart"/>
      <w:r>
        <w:rPr>
          <w:rFonts w:ascii="Arial" w:eastAsia="Times New Roman" w:hAnsi="Arial"/>
          <w:szCs w:val="24"/>
        </w:rPr>
        <w:t>geringeren</w:t>
      </w:r>
      <w:proofErr w:type="spellEnd"/>
      <w:r>
        <w:rPr>
          <w:rFonts w:ascii="Arial" w:eastAsia="Times New Roman" w:hAnsi="Arial"/>
          <w:szCs w:val="24"/>
        </w:rPr>
        <w:t xml:space="preserve"> Grad </w:t>
      </w:r>
      <w:proofErr w:type="spellStart"/>
      <w:r>
        <w:rPr>
          <w:rFonts w:ascii="Arial" w:eastAsia="Times New Roman" w:hAnsi="Arial"/>
          <w:szCs w:val="24"/>
        </w:rPr>
        <w:lastRenderedPageBreak/>
        <w:t>einhält</w:t>
      </w:r>
      <w:proofErr w:type="spellEnd"/>
      <w:r>
        <w:rPr>
          <w:rFonts w:ascii="Arial" w:eastAsia="Times New Roman" w:hAnsi="Arial"/>
          <w:szCs w:val="24"/>
        </w:rPr>
        <w:t xml:space="preserve">, </w:t>
      </w:r>
      <w:proofErr w:type="spellStart"/>
      <w:r>
        <w:rPr>
          <w:rFonts w:ascii="Arial" w:eastAsia="Times New Roman" w:hAnsi="Arial"/>
          <w:szCs w:val="24"/>
        </w:rPr>
        <w:t>ohne</w:t>
      </w:r>
      <w:proofErr w:type="spellEnd"/>
      <w:r>
        <w:rPr>
          <w:rFonts w:ascii="Arial" w:eastAsia="Times New Roman" w:hAnsi="Arial"/>
          <w:szCs w:val="24"/>
        </w:rPr>
        <w:t xml:space="preserve"> X-Rite </w:t>
      </w:r>
      <w:proofErr w:type="spellStart"/>
      <w:r>
        <w:rPr>
          <w:rFonts w:ascii="Arial" w:eastAsia="Times New Roman" w:hAnsi="Arial"/>
          <w:szCs w:val="24"/>
        </w:rPr>
        <w:t>zuvor</w:t>
      </w:r>
      <w:proofErr w:type="spellEnd"/>
      <w:r>
        <w:rPr>
          <w:rFonts w:ascii="Arial" w:eastAsia="Times New Roman" w:hAnsi="Arial"/>
          <w:szCs w:val="24"/>
        </w:rPr>
        <w:t xml:space="preserve"> </w:t>
      </w:r>
      <w:proofErr w:type="spellStart"/>
      <w:r>
        <w:rPr>
          <w:rFonts w:ascii="Arial" w:eastAsia="Times New Roman" w:hAnsi="Arial"/>
          <w:szCs w:val="24"/>
        </w:rPr>
        <w:t>davon</w:t>
      </w:r>
      <w:proofErr w:type="spellEnd"/>
      <w:r>
        <w:rPr>
          <w:rFonts w:ascii="Arial" w:eastAsia="Times New Roman" w:hAnsi="Arial"/>
          <w:szCs w:val="24"/>
        </w:rPr>
        <w:t xml:space="preserve"> </w:t>
      </w:r>
      <w:proofErr w:type="spellStart"/>
      <w:r>
        <w:rPr>
          <w:rFonts w:ascii="Arial" w:eastAsia="Times New Roman" w:hAnsi="Arial"/>
          <w:szCs w:val="24"/>
        </w:rPr>
        <w:t>zu</w:t>
      </w:r>
      <w:proofErr w:type="spellEnd"/>
      <w:r>
        <w:rPr>
          <w:rFonts w:ascii="Arial" w:eastAsia="Times New Roman" w:hAnsi="Arial"/>
          <w:szCs w:val="24"/>
        </w:rPr>
        <w:t xml:space="preserve"> </w:t>
      </w:r>
      <w:proofErr w:type="spellStart"/>
      <w:r>
        <w:rPr>
          <w:rFonts w:ascii="Arial" w:eastAsia="Times New Roman" w:hAnsi="Arial"/>
          <w:szCs w:val="24"/>
        </w:rPr>
        <w:t>unterrichten</w:t>
      </w:r>
      <w:proofErr w:type="spellEnd"/>
      <w:r>
        <w:rPr>
          <w:rFonts w:ascii="Arial" w:eastAsia="Times New Roman" w:hAnsi="Arial"/>
          <w:szCs w:val="24"/>
        </w:rPr>
        <w:t xml:space="preserve"> </w:t>
      </w:r>
      <w:proofErr w:type="spellStart"/>
      <w:r>
        <w:rPr>
          <w:rFonts w:ascii="Arial" w:eastAsia="Times New Roman" w:hAnsi="Arial"/>
          <w:szCs w:val="24"/>
        </w:rPr>
        <w:t>ist</w:t>
      </w:r>
      <w:proofErr w:type="spellEnd"/>
      <w:r>
        <w:rPr>
          <w:rFonts w:ascii="Arial" w:eastAsia="Times New Roman" w:hAnsi="Arial"/>
          <w:szCs w:val="24"/>
        </w:rPr>
        <w:t xml:space="preserve"> </w:t>
      </w:r>
      <w:proofErr w:type="spellStart"/>
      <w:r>
        <w:rPr>
          <w:rFonts w:ascii="Arial" w:eastAsia="Times New Roman" w:hAnsi="Arial"/>
          <w:szCs w:val="24"/>
        </w:rPr>
        <w:t>untersagt</w:t>
      </w:r>
      <w:proofErr w:type="spellEnd"/>
      <w:r>
        <w:rPr>
          <w:rFonts w:ascii="Arial" w:eastAsia="Times New Roman" w:hAnsi="Arial"/>
          <w:szCs w:val="24"/>
        </w:rPr>
        <w:t>.</w:t>
      </w:r>
    </w:p>
    <w:p w14:paraId="0C67F2F0" w14:textId="77777777" w:rsidR="00A25A2C" w:rsidRPr="00AD16D0" w:rsidRDefault="00A25A2C" w:rsidP="00C5606C">
      <w:pPr>
        <w:pStyle w:val="BodyText"/>
        <w:numPr>
          <w:ilvl w:val="1"/>
          <w:numId w:val="10"/>
        </w:numPr>
        <w:spacing w:line="280" w:lineRule="auto"/>
        <w:ind w:right="720"/>
        <w:jc w:val="left"/>
        <w:rPr>
          <w:rFonts w:ascii="Arial" w:eastAsia="Times New Roman" w:hAnsi="Arial"/>
          <w:szCs w:val="24"/>
        </w:rPr>
      </w:pPr>
      <w:r>
        <w:rPr>
          <w:rFonts w:ascii="Arial" w:eastAsia="Times New Roman" w:hAnsi="Arial"/>
          <w:szCs w:val="24"/>
        </w:rPr>
        <w:t xml:space="preserve">Neue </w:t>
      </w:r>
      <w:proofErr w:type="spellStart"/>
      <w:r>
        <w:rPr>
          <w:rFonts w:ascii="Arial" w:eastAsia="Times New Roman" w:hAnsi="Arial"/>
          <w:szCs w:val="24"/>
        </w:rPr>
        <w:t>Stoffe</w:t>
      </w:r>
      <w:proofErr w:type="spellEnd"/>
      <w:r>
        <w:rPr>
          <w:rFonts w:ascii="Arial" w:eastAsia="Times New Roman" w:hAnsi="Arial"/>
          <w:szCs w:val="24"/>
        </w:rPr>
        <w:t xml:space="preserve"> </w:t>
      </w:r>
      <w:proofErr w:type="spellStart"/>
      <w:r>
        <w:rPr>
          <w:rFonts w:ascii="Arial" w:eastAsia="Times New Roman" w:hAnsi="Arial"/>
          <w:szCs w:val="24"/>
        </w:rPr>
        <w:t>zur</w:t>
      </w:r>
      <w:proofErr w:type="spellEnd"/>
      <w:r>
        <w:rPr>
          <w:rFonts w:ascii="Arial" w:eastAsia="Times New Roman" w:hAnsi="Arial"/>
          <w:szCs w:val="24"/>
        </w:rPr>
        <w:t xml:space="preserve"> </w:t>
      </w:r>
      <w:proofErr w:type="spellStart"/>
      <w:r>
        <w:rPr>
          <w:rFonts w:ascii="Arial" w:eastAsia="Times New Roman" w:hAnsi="Arial"/>
          <w:szCs w:val="24"/>
        </w:rPr>
        <w:t>Verfügung</w:t>
      </w:r>
      <w:proofErr w:type="spellEnd"/>
      <w:r>
        <w:rPr>
          <w:rFonts w:ascii="Arial" w:eastAsia="Times New Roman" w:hAnsi="Arial"/>
          <w:szCs w:val="24"/>
        </w:rPr>
        <w:t xml:space="preserve"> </w:t>
      </w:r>
      <w:proofErr w:type="spellStart"/>
      <w:r>
        <w:rPr>
          <w:rFonts w:ascii="Arial" w:eastAsia="Times New Roman" w:hAnsi="Arial"/>
          <w:szCs w:val="24"/>
        </w:rPr>
        <w:t>stehen</w:t>
      </w:r>
      <w:proofErr w:type="spellEnd"/>
    </w:p>
    <w:p w14:paraId="0ADF92CB" w14:textId="77777777" w:rsidR="00A25A2C" w:rsidRPr="00AD16D0" w:rsidRDefault="00A25A2C" w:rsidP="00C5606C">
      <w:pPr>
        <w:pStyle w:val="BodyText"/>
        <w:numPr>
          <w:ilvl w:val="1"/>
          <w:numId w:val="10"/>
        </w:numPr>
        <w:spacing w:line="280" w:lineRule="auto"/>
        <w:ind w:right="720"/>
        <w:jc w:val="left"/>
        <w:rPr>
          <w:rFonts w:ascii="Arial" w:eastAsia="Times New Roman" w:hAnsi="Arial"/>
          <w:szCs w:val="24"/>
        </w:rPr>
      </w:pPr>
      <w:r>
        <w:rPr>
          <w:rFonts w:ascii="Arial" w:eastAsia="Times New Roman" w:hAnsi="Arial"/>
          <w:szCs w:val="24"/>
        </w:rPr>
        <w:t xml:space="preserve">Neue GPCSE-Revision </w:t>
      </w:r>
      <w:proofErr w:type="spellStart"/>
      <w:r>
        <w:rPr>
          <w:rFonts w:ascii="Arial" w:eastAsia="Times New Roman" w:hAnsi="Arial"/>
          <w:szCs w:val="24"/>
        </w:rPr>
        <w:t>neue</w:t>
      </w:r>
      <w:proofErr w:type="spellEnd"/>
      <w:r>
        <w:rPr>
          <w:rFonts w:ascii="Arial" w:eastAsia="Times New Roman" w:hAnsi="Arial"/>
          <w:szCs w:val="24"/>
        </w:rPr>
        <w:t xml:space="preserve"> </w:t>
      </w:r>
      <w:proofErr w:type="spellStart"/>
      <w:r>
        <w:rPr>
          <w:rFonts w:ascii="Arial" w:eastAsia="Times New Roman" w:hAnsi="Arial"/>
          <w:szCs w:val="24"/>
        </w:rPr>
        <w:t>Angaben</w:t>
      </w:r>
      <w:proofErr w:type="spellEnd"/>
      <w:r>
        <w:rPr>
          <w:rFonts w:ascii="Arial" w:eastAsia="Times New Roman" w:hAnsi="Arial"/>
          <w:szCs w:val="24"/>
        </w:rPr>
        <w:t xml:space="preserve"> </w:t>
      </w:r>
      <w:proofErr w:type="spellStart"/>
      <w:r>
        <w:rPr>
          <w:rFonts w:ascii="Arial" w:eastAsia="Times New Roman" w:hAnsi="Arial"/>
          <w:szCs w:val="24"/>
        </w:rPr>
        <w:t>erforderlich</w:t>
      </w:r>
      <w:proofErr w:type="spellEnd"/>
      <w:r>
        <w:rPr>
          <w:rFonts w:ascii="Arial" w:eastAsia="Times New Roman" w:hAnsi="Arial"/>
          <w:szCs w:val="24"/>
        </w:rPr>
        <w:t xml:space="preserve"> </w:t>
      </w:r>
      <w:proofErr w:type="spellStart"/>
      <w:r>
        <w:rPr>
          <w:rFonts w:ascii="Arial" w:eastAsia="Times New Roman" w:hAnsi="Arial"/>
          <w:szCs w:val="24"/>
        </w:rPr>
        <w:t>machen</w:t>
      </w:r>
      <w:proofErr w:type="spellEnd"/>
    </w:p>
    <w:p w14:paraId="3E0F3E2A" w14:textId="77777777" w:rsidR="00A25A2C" w:rsidRPr="00AD16D0" w:rsidRDefault="00A25A2C" w:rsidP="00C5606C">
      <w:pPr>
        <w:pStyle w:val="BodyText"/>
        <w:numPr>
          <w:ilvl w:val="1"/>
          <w:numId w:val="10"/>
        </w:numPr>
        <w:spacing w:line="280" w:lineRule="auto"/>
        <w:ind w:right="720"/>
        <w:jc w:val="left"/>
        <w:rPr>
          <w:rFonts w:ascii="Arial" w:eastAsia="Times New Roman" w:hAnsi="Arial"/>
          <w:szCs w:val="24"/>
        </w:rPr>
      </w:pPr>
      <w:r>
        <w:rPr>
          <w:rFonts w:ascii="Arial" w:eastAsia="Times New Roman" w:hAnsi="Arial"/>
          <w:szCs w:val="24"/>
        </w:rPr>
        <w:t xml:space="preserve">Neue </w:t>
      </w:r>
      <w:proofErr w:type="spellStart"/>
      <w:r>
        <w:rPr>
          <w:rFonts w:ascii="Arial" w:eastAsia="Times New Roman" w:hAnsi="Arial"/>
          <w:szCs w:val="24"/>
        </w:rPr>
        <w:t>Vorschriften</w:t>
      </w:r>
      <w:proofErr w:type="spellEnd"/>
      <w:r>
        <w:rPr>
          <w:rFonts w:ascii="Arial" w:eastAsia="Times New Roman" w:hAnsi="Arial"/>
          <w:szCs w:val="24"/>
        </w:rPr>
        <w:t xml:space="preserve"> </w:t>
      </w:r>
      <w:proofErr w:type="spellStart"/>
      <w:r>
        <w:rPr>
          <w:rFonts w:ascii="Arial" w:eastAsia="Times New Roman" w:hAnsi="Arial"/>
          <w:szCs w:val="24"/>
        </w:rPr>
        <w:t>oder</w:t>
      </w:r>
      <w:proofErr w:type="spellEnd"/>
      <w:r>
        <w:rPr>
          <w:rFonts w:ascii="Arial" w:eastAsia="Times New Roman" w:hAnsi="Arial"/>
          <w:szCs w:val="24"/>
        </w:rPr>
        <w:t xml:space="preserve"> </w:t>
      </w:r>
      <w:proofErr w:type="spellStart"/>
      <w:r>
        <w:rPr>
          <w:rFonts w:ascii="Arial" w:eastAsia="Times New Roman" w:hAnsi="Arial"/>
          <w:szCs w:val="24"/>
        </w:rPr>
        <w:t>Revisionen</w:t>
      </w:r>
      <w:proofErr w:type="spellEnd"/>
      <w:r>
        <w:rPr>
          <w:rFonts w:ascii="Arial" w:eastAsia="Times New Roman" w:hAnsi="Arial"/>
          <w:szCs w:val="24"/>
        </w:rPr>
        <w:t xml:space="preserve"> </w:t>
      </w:r>
      <w:proofErr w:type="spellStart"/>
      <w:r>
        <w:rPr>
          <w:rFonts w:ascii="Arial" w:eastAsia="Times New Roman" w:hAnsi="Arial"/>
          <w:szCs w:val="24"/>
        </w:rPr>
        <w:t>neue</w:t>
      </w:r>
      <w:proofErr w:type="spellEnd"/>
      <w:r>
        <w:rPr>
          <w:rFonts w:ascii="Arial" w:eastAsia="Times New Roman" w:hAnsi="Arial"/>
          <w:szCs w:val="24"/>
        </w:rPr>
        <w:t xml:space="preserve"> </w:t>
      </w:r>
      <w:proofErr w:type="spellStart"/>
      <w:r>
        <w:rPr>
          <w:rFonts w:ascii="Arial" w:eastAsia="Times New Roman" w:hAnsi="Arial"/>
          <w:szCs w:val="24"/>
        </w:rPr>
        <w:t>Angaben</w:t>
      </w:r>
      <w:proofErr w:type="spellEnd"/>
      <w:r>
        <w:rPr>
          <w:rFonts w:ascii="Arial" w:eastAsia="Times New Roman" w:hAnsi="Arial"/>
          <w:szCs w:val="24"/>
        </w:rPr>
        <w:t xml:space="preserve"> </w:t>
      </w:r>
      <w:proofErr w:type="spellStart"/>
      <w:r>
        <w:rPr>
          <w:rFonts w:ascii="Arial" w:eastAsia="Times New Roman" w:hAnsi="Arial"/>
          <w:szCs w:val="24"/>
        </w:rPr>
        <w:t>erforderlich</w:t>
      </w:r>
      <w:proofErr w:type="spellEnd"/>
      <w:r>
        <w:rPr>
          <w:rFonts w:ascii="Arial" w:eastAsia="Times New Roman" w:hAnsi="Arial"/>
          <w:szCs w:val="24"/>
        </w:rPr>
        <w:t xml:space="preserve"> </w:t>
      </w:r>
      <w:proofErr w:type="spellStart"/>
      <w:r>
        <w:rPr>
          <w:rFonts w:ascii="Arial" w:eastAsia="Times New Roman" w:hAnsi="Arial"/>
          <w:szCs w:val="24"/>
        </w:rPr>
        <w:t>machen</w:t>
      </w:r>
      <w:proofErr w:type="spellEnd"/>
    </w:p>
    <w:p w14:paraId="69D0AD3B" w14:textId="77777777" w:rsidR="00A25A2C" w:rsidRPr="00FE79EE" w:rsidRDefault="00A25A2C" w:rsidP="00C5606C">
      <w:pPr>
        <w:pStyle w:val="BodyText"/>
        <w:numPr>
          <w:ilvl w:val="0"/>
          <w:numId w:val="10"/>
        </w:numPr>
        <w:spacing w:line="280" w:lineRule="auto"/>
        <w:ind w:right="720"/>
        <w:jc w:val="left"/>
        <w:rPr>
          <w:rFonts w:ascii="Arial" w:eastAsia="Times New Roman" w:hAnsi="Arial"/>
          <w:szCs w:val="24"/>
        </w:rPr>
      </w:pPr>
      <w:proofErr w:type="spellStart"/>
      <w:r>
        <w:rPr>
          <w:rFonts w:ascii="Arial" w:eastAsia="Times New Roman" w:hAnsi="Arial"/>
          <w:szCs w:val="24"/>
        </w:rPr>
        <w:t>Jegliche</w:t>
      </w:r>
      <w:proofErr w:type="spellEnd"/>
      <w:r>
        <w:rPr>
          <w:rFonts w:ascii="Arial" w:eastAsia="Times New Roman" w:hAnsi="Arial"/>
          <w:szCs w:val="24"/>
        </w:rPr>
        <w:t xml:space="preserve"> </w:t>
      </w:r>
      <w:proofErr w:type="spellStart"/>
      <w:r>
        <w:rPr>
          <w:rFonts w:ascii="Arial" w:eastAsia="Times New Roman" w:hAnsi="Arial"/>
          <w:szCs w:val="24"/>
        </w:rPr>
        <w:t>Nichterfüllung</w:t>
      </w:r>
      <w:proofErr w:type="spellEnd"/>
      <w:r>
        <w:rPr>
          <w:rFonts w:ascii="Arial" w:eastAsia="Times New Roman" w:hAnsi="Arial"/>
          <w:szCs w:val="24"/>
        </w:rPr>
        <w:t xml:space="preserve"> der GPCSE-</w:t>
      </w:r>
      <w:proofErr w:type="spellStart"/>
      <w:r>
        <w:rPr>
          <w:rFonts w:ascii="Arial" w:eastAsia="Times New Roman" w:hAnsi="Arial"/>
          <w:szCs w:val="24"/>
        </w:rPr>
        <w:t>Anforderungen</w:t>
      </w:r>
      <w:proofErr w:type="spellEnd"/>
      <w:r>
        <w:rPr>
          <w:rFonts w:ascii="Arial" w:eastAsia="Times New Roman" w:hAnsi="Arial"/>
          <w:szCs w:val="24"/>
        </w:rPr>
        <w:t xml:space="preserve"> </w:t>
      </w:r>
      <w:proofErr w:type="spellStart"/>
      <w:r>
        <w:rPr>
          <w:rFonts w:ascii="Arial" w:eastAsia="Times New Roman" w:hAnsi="Arial"/>
          <w:szCs w:val="24"/>
        </w:rPr>
        <w:t>kann</w:t>
      </w:r>
      <w:proofErr w:type="spellEnd"/>
      <w:r>
        <w:rPr>
          <w:rFonts w:ascii="Arial" w:eastAsia="Times New Roman" w:hAnsi="Arial"/>
          <w:szCs w:val="24"/>
        </w:rPr>
        <w:t xml:space="preserve"> </w:t>
      </w:r>
      <w:proofErr w:type="spellStart"/>
      <w:r>
        <w:rPr>
          <w:rFonts w:ascii="Arial" w:eastAsia="Times New Roman" w:hAnsi="Arial"/>
          <w:szCs w:val="24"/>
        </w:rPr>
        <w:t>dazu</w:t>
      </w:r>
      <w:proofErr w:type="spellEnd"/>
      <w:r>
        <w:rPr>
          <w:rFonts w:ascii="Arial" w:eastAsia="Times New Roman" w:hAnsi="Arial"/>
          <w:szCs w:val="24"/>
        </w:rPr>
        <w:t xml:space="preserve"> </w:t>
      </w:r>
      <w:proofErr w:type="spellStart"/>
      <w:r>
        <w:rPr>
          <w:rFonts w:ascii="Arial" w:eastAsia="Times New Roman" w:hAnsi="Arial"/>
          <w:szCs w:val="24"/>
        </w:rPr>
        <w:t>führen</w:t>
      </w:r>
      <w:proofErr w:type="spellEnd"/>
      <w:r>
        <w:rPr>
          <w:rFonts w:ascii="Arial" w:eastAsia="Times New Roman" w:hAnsi="Arial"/>
          <w:szCs w:val="24"/>
        </w:rPr>
        <w:t xml:space="preserve">, </w:t>
      </w:r>
      <w:proofErr w:type="spellStart"/>
      <w:r>
        <w:rPr>
          <w:rFonts w:ascii="Arial" w:eastAsia="Times New Roman" w:hAnsi="Arial"/>
          <w:szCs w:val="24"/>
        </w:rPr>
        <w:t>dass</w:t>
      </w:r>
      <w:proofErr w:type="spellEnd"/>
      <w:r>
        <w:rPr>
          <w:rFonts w:ascii="Arial" w:eastAsia="Times New Roman" w:hAnsi="Arial"/>
          <w:szCs w:val="24"/>
        </w:rPr>
        <w:t xml:space="preserve"> das an X-Rite </w:t>
      </w:r>
      <w:proofErr w:type="spellStart"/>
      <w:r>
        <w:rPr>
          <w:rFonts w:ascii="Arial" w:eastAsia="Times New Roman" w:hAnsi="Arial"/>
          <w:szCs w:val="24"/>
        </w:rPr>
        <w:t>gelieferte</w:t>
      </w:r>
      <w:proofErr w:type="spellEnd"/>
      <w:r>
        <w:rPr>
          <w:rFonts w:ascii="Arial" w:eastAsia="Times New Roman" w:hAnsi="Arial"/>
          <w:szCs w:val="24"/>
        </w:rPr>
        <w:t xml:space="preserve"> </w:t>
      </w:r>
      <w:proofErr w:type="spellStart"/>
      <w:r>
        <w:rPr>
          <w:rFonts w:ascii="Arial" w:eastAsia="Times New Roman" w:hAnsi="Arial"/>
          <w:szCs w:val="24"/>
        </w:rPr>
        <w:t>Teil</w:t>
      </w:r>
      <w:proofErr w:type="spellEnd"/>
      <w:r>
        <w:rPr>
          <w:rFonts w:ascii="Arial" w:eastAsia="Times New Roman" w:hAnsi="Arial"/>
          <w:szCs w:val="24"/>
        </w:rPr>
        <w:t xml:space="preserve"> </w:t>
      </w:r>
      <w:proofErr w:type="spellStart"/>
      <w:r>
        <w:rPr>
          <w:rFonts w:ascii="Arial" w:eastAsia="Times New Roman" w:hAnsi="Arial"/>
          <w:szCs w:val="24"/>
        </w:rPr>
        <w:t>oder</w:t>
      </w:r>
      <w:proofErr w:type="spellEnd"/>
      <w:r>
        <w:rPr>
          <w:rFonts w:ascii="Arial" w:eastAsia="Times New Roman" w:hAnsi="Arial"/>
          <w:szCs w:val="24"/>
        </w:rPr>
        <w:t xml:space="preserve"> Material </w:t>
      </w:r>
      <w:proofErr w:type="spellStart"/>
      <w:r>
        <w:rPr>
          <w:rFonts w:ascii="Arial" w:eastAsia="Times New Roman" w:hAnsi="Arial"/>
          <w:szCs w:val="24"/>
        </w:rPr>
        <w:t>als</w:t>
      </w:r>
      <w:proofErr w:type="spellEnd"/>
      <w:r>
        <w:rPr>
          <w:rFonts w:ascii="Arial" w:eastAsia="Times New Roman" w:hAnsi="Arial"/>
          <w:szCs w:val="24"/>
        </w:rPr>
        <w:t xml:space="preserve"> </w:t>
      </w:r>
      <w:proofErr w:type="spellStart"/>
      <w:r>
        <w:rPr>
          <w:rFonts w:ascii="Arial" w:eastAsia="Times New Roman" w:hAnsi="Arial"/>
          <w:szCs w:val="24"/>
        </w:rPr>
        <w:t>zur</w:t>
      </w:r>
      <w:proofErr w:type="spellEnd"/>
      <w:r>
        <w:rPr>
          <w:rFonts w:ascii="Arial" w:eastAsia="Times New Roman" w:hAnsi="Arial"/>
          <w:szCs w:val="24"/>
        </w:rPr>
        <w:t xml:space="preserve"> </w:t>
      </w:r>
      <w:proofErr w:type="spellStart"/>
      <w:r>
        <w:rPr>
          <w:rFonts w:ascii="Arial" w:eastAsia="Times New Roman" w:hAnsi="Arial"/>
          <w:szCs w:val="24"/>
        </w:rPr>
        <w:t>Verwendung</w:t>
      </w:r>
      <w:proofErr w:type="spellEnd"/>
      <w:r>
        <w:rPr>
          <w:rFonts w:ascii="Arial" w:eastAsia="Times New Roman" w:hAnsi="Arial"/>
          <w:szCs w:val="24"/>
        </w:rPr>
        <w:t xml:space="preserve"> </w:t>
      </w:r>
      <w:proofErr w:type="spellStart"/>
      <w:r>
        <w:rPr>
          <w:rFonts w:ascii="Arial" w:eastAsia="Times New Roman" w:hAnsi="Arial"/>
          <w:szCs w:val="24"/>
        </w:rPr>
        <w:t>unbrauchbar</w:t>
      </w:r>
      <w:proofErr w:type="spellEnd"/>
      <w:r>
        <w:rPr>
          <w:rFonts w:ascii="Arial" w:eastAsia="Times New Roman" w:hAnsi="Arial"/>
          <w:szCs w:val="24"/>
        </w:rPr>
        <w:t xml:space="preserve"> </w:t>
      </w:r>
      <w:proofErr w:type="spellStart"/>
      <w:r>
        <w:rPr>
          <w:rFonts w:ascii="Arial" w:eastAsia="Times New Roman" w:hAnsi="Arial"/>
          <w:szCs w:val="24"/>
        </w:rPr>
        <w:t>klassifiziert</w:t>
      </w:r>
      <w:proofErr w:type="spellEnd"/>
      <w:r>
        <w:rPr>
          <w:rFonts w:ascii="Arial" w:eastAsia="Times New Roman" w:hAnsi="Arial"/>
          <w:szCs w:val="24"/>
        </w:rPr>
        <w:t xml:space="preserve"> </w:t>
      </w:r>
      <w:proofErr w:type="spellStart"/>
      <w:r>
        <w:rPr>
          <w:rFonts w:ascii="Arial" w:eastAsia="Times New Roman" w:hAnsi="Arial"/>
          <w:szCs w:val="24"/>
        </w:rPr>
        <w:t>wird</w:t>
      </w:r>
      <w:proofErr w:type="spellEnd"/>
      <w:r>
        <w:rPr>
          <w:rFonts w:ascii="Arial" w:eastAsia="Times New Roman" w:hAnsi="Arial"/>
          <w:szCs w:val="24"/>
        </w:rPr>
        <w:t xml:space="preserve">. </w:t>
      </w:r>
    </w:p>
    <w:p w14:paraId="01C3740C" w14:textId="77777777" w:rsidR="00862B2B" w:rsidRDefault="00862B2B" w:rsidP="002B2BAD">
      <w:pPr>
        <w:pStyle w:val="BodyText"/>
        <w:spacing w:line="276" w:lineRule="auto"/>
        <w:ind w:left="720" w:right="720"/>
        <w:jc w:val="left"/>
        <w:rPr>
          <w:rFonts w:ascii="Arial" w:hAnsi="Arial" w:cs="Arial"/>
        </w:rPr>
      </w:pPr>
    </w:p>
    <w:p w14:paraId="01C3740D" w14:textId="77777777" w:rsidR="00954EF6" w:rsidRDefault="00954EF6">
      <w:pPr>
        <w:sectPr w:rsidR="00954EF6" w:rsidSect="004F643C">
          <w:headerReference w:type="default" r:id="rId12"/>
          <w:footerReference w:type="default" r:id="rId13"/>
          <w:pgSz w:w="12240" w:h="15840"/>
          <w:pgMar w:top="1584" w:right="1440" w:bottom="1440" w:left="1440" w:header="720" w:footer="720" w:gutter="0"/>
          <w:cols w:space="720"/>
          <w:docGrid w:linePitch="360"/>
        </w:sectPr>
      </w:pPr>
    </w:p>
    <w:p w14:paraId="6FDEA1EE" w14:textId="009B5DFE" w:rsidR="00974D53" w:rsidRPr="003A425B" w:rsidRDefault="00974D53" w:rsidP="00974D53">
      <w:pPr>
        <w:spacing w:after="60"/>
        <w:jc w:val="center"/>
      </w:pPr>
      <w:bookmarkStart w:id="6" w:name="_Toc455755072"/>
      <w:bookmarkStart w:id="7" w:name="_Toc518544101"/>
      <w:bookmarkStart w:id="8" w:name="_Toc535403703"/>
      <w:proofErr w:type="spellStart"/>
      <w:r w:rsidRPr="0011730F">
        <w:rPr>
          <w:rStyle w:val="Heading1Char"/>
          <w:rFonts w:ascii="Arial" w:eastAsia="Calibri" w:hAnsi="Arial" w:cs="Arial"/>
          <w:b w:val="0"/>
          <w:color w:val="000000"/>
          <w:sz w:val="22"/>
        </w:rPr>
        <w:lastRenderedPageBreak/>
        <w:t>Arbeitsblatt</w:t>
      </w:r>
      <w:proofErr w:type="spellEnd"/>
      <w:r w:rsidRPr="0011730F">
        <w:rPr>
          <w:rStyle w:val="Heading1Char"/>
          <w:rFonts w:ascii="Arial" w:eastAsia="Calibri" w:hAnsi="Arial" w:cs="Arial"/>
          <w:b w:val="0"/>
          <w:color w:val="000000"/>
          <w:sz w:val="22"/>
        </w:rPr>
        <w:t xml:space="preserve"> </w:t>
      </w:r>
      <w:proofErr w:type="spellStart"/>
      <w:r w:rsidRPr="0011730F">
        <w:rPr>
          <w:rStyle w:val="Heading1Char"/>
          <w:rFonts w:ascii="Arial" w:eastAsia="Calibri" w:hAnsi="Arial" w:cs="Arial"/>
          <w:b w:val="0"/>
          <w:color w:val="000000"/>
          <w:sz w:val="22"/>
        </w:rPr>
        <w:t>Stoffangaben</w:t>
      </w:r>
      <w:bookmarkEnd w:id="6"/>
      <w:proofErr w:type="spellEnd"/>
      <w:r w:rsidRPr="0011730F">
        <w:rPr>
          <w:rStyle w:val="Heading1Char"/>
          <w:rFonts w:ascii="Arial" w:eastAsia="Calibri" w:hAnsi="Arial" w:cs="Arial"/>
          <w:b w:val="0"/>
          <w:color w:val="000000"/>
          <w:sz w:val="22"/>
        </w:rPr>
        <w:t xml:space="preserve"> </w:t>
      </w:r>
      <w:proofErr w:type="spellStart"/>
      <w:r w:rsidRPr="0011730F">
        <w:rPr>
          <w:rStyle w:val="Heading1Char"/>
          <w:rFonts w:ascii="Arial" w:eastAsia="Calibri" w:hAnsi="Arial" w:cs="Arial"/>
          <w:b w:val="0"/>
          <w:color w:val="000000"/>
          <w:sz w:val="22"/>
        </w:rPr>
        <w:t>für</w:t>
      </w:r>
      <w:proofErr w:type="spellEnd"/>
      <w:r w:rsidRPr="0011730F">
        <w:rPr>
          <w:rStyle w:val="Heading1Char"/>
          <w:rFonts w:ascii="Arial" w:eastAsia="Calibri" w:hAnsi="Arial" w:cs="Arial"/>
          <w:b w:val="0"/>
          <w:color w:val="000000"/>
          <w:sz w:val="22"/>
        </w:rPr>
        <w:t xml:space="preserve"> GPCSE</w:t>
      </w:r>
      <w:bookmarkEnd w:id="7"/>
      <w:bookmarkEnd w:id="8"/>
      <w:r w:rsidRPr="002B5950">
        <w:t>-</w:t>
      </w:r>
      <w:r w:rsidRPr="002D16AB">
        <w:rPr>
          <w:color w:val="000000" w:themeColor="text1"/>
        </w:rPr>
        <w:t xml:space="preserve">Revision </w:t>
      </w:r>
      <w:r w:rsidR="006C2657">
        <w:rPr>
          <w:color w:val="000000" w:themeColor="text1"/>
        </w:rPr>
        <w:t>AA</w:t>
      </w:r>
      <w:r w:rsidRPr="002D16AB">
        <w:rPr>
          <w:color w:val="000000" w:themeColor="text1"/>
        </w:rPr>
        <w:t xml:space="preserve">, </w:t>
      </w:r>
      <w:r w:rsidR="006C2657">
        <w:rPr>
          <w:color w:val="000000" w:themeColor="text1"/>
        </w:rPr>
        <w:t>23</w:t>
      </w:r>
      <w:r w:rsidRPr="002D16AB">
        <w:rPr>
          <w:color w:val="000000" w:themeColor="text1"/>
        </w:rPr>
        <w:t xml:space="preserve">. </w:t>
      </w:r>
      <w:proofErr w:type="spellStart"/>
      <w:r w:rsidRPr="002D16AB">
        <w:rPr>
          <w:color w:val="000000" w:themeColor="text1"/>
        </w:rPr>
        <w:t>J</w:t>
      </w:r>
      <w:r w:rsidR="006C2657">
        <w:rPr>
          <w:color w:val="000000" w:themeColor="text1"/>
        </w:rPr>
        <w:t>uli</w:t>
      </w:r>
      <w:proofErr w:type="spellEnd"/>
      <w:r w:rsidRPr="002D16AB">
        <w:rPr>
          <w:color w:val="000000" w:themeColor="text1"/>
        </w:rPr>
        <w:t xml:space="preserve"> 201</w:t>
      </w:r>
      <w:r w:rsidR="002D16AB" w:rsidRPr="002D16AB">
        <w:rPr>
          <w:color w:val="000000" w:themeColor="text1"/>
        </w:rPr>
        <w:t>9</w:t>
      </w:r>
    </w:p>
    <w:tbl>
      <w:tblPr>
        <w:tblStyle w:val="TableGrid"/>
        <w:tblW w:w="0" w:type="auto"/>
        <w:tblLook w:val="04A0" w:firstRow="1" w:lastRow="0" w:firstColumn="1" w:lastColumn="0" w:noHBand="0" w:noVBand="1"/>
      </w:tblPr>
      <w:tblGrid>
        <w:gridCol w:w="5942"/>
        <w:gridCol w:w="533"/>
        <w:gridCol w:w="6475"/>
      </w:tblGrid>
      <w:tr w:rsidR="00954EF6" w:rsidRPr="000A7A3D" w14:paraId="01C37412" w14:textId="77777777" w:rsidTr="002D16AB">
        <w:tc>
          <w:tcPr>
            <w:tcW w:w="5942" w:type="dxa"/>
            <w:shd w:val="clear" w:color="auto" w:fill="DBE5F1" w:themeFill="accent1" w:themeFillTint="33"/>
          </w:tcPr>
          <w:p w14:paraId="01C3740F" w14:textId="3E05820D" w:rsidR="00954EF6" w:rsidRPr="000A7A3D" w:rsidRDefault="002D16AB" w:rsidP="00723918">
            <w:pPr>
              <w:jc w:val="center"/>
              <w:rPr>
                <w:color w:val="000000" w:themeColor="text1"/>
                <w:sz w:val="20"/>
              </w:rPr>
            </w:pPr>
            <w:proofErr w:type="spellStart"/>
            <w:r>
              <w:rPr>
                <w:color w:val="000000"/>
                <w:sz w:val="18"/>
              </w:rPr>
              <w:t>Kontaktinformationen</w:t>
            </w:r>
            <w:proofErr w:type="spellEnd"/>
            <w:r>
              <w:rPr>
                <w:color w:val="000000"/>
                <w:sz w:val="18"/>
              </w:rPr>
              <w:t xml:space="preserve"> </w:t>
            </w:r>
            <w:proofErr w:type="spellStart"/>
            <w:r>
              <w:rPr>
                <w:color w:val="000000"/>
                <w:sz w:val="18"/>
              </w:rPr>
              <w:t>Lieferant</w:t>
            </w:r>
            <w:proofErr w:type="spellEnd"/>
          </w:p>
        </w:tc>
        <w:tc>
          <w:tcPr>
            <w:tcW w:w="533" w:type="dxa"/>
            <w:tcBorders>
              <w:top w:val="nil"/>
              <w:bottom w:val="nil"/>
            </w:tcBorders>
          </w:tcPr>
          <w:p w14:paraId="01C37410" w14:textId="77777777" w:rsidR="00954EF6" w:rsidRPr="000A7A3D" w:rsidRDefault="00954EF6" w:rsidP="00723918">
            <w:pPr>
              <w:rPr>
                <w:color w:val="000000" w:themeColor="text1"/>
                <w:sz w:val="20"/>
              </w:rPr>
            </w:pPr>
          </w:p>
        </w:tc>
        <w:tc>
          <w:tcPr>
            <w:tcW w:w="6475" w:type="dxa"/>
            <w:vMerge w:val="restart"/>
          </w:tcPr>
          <w:p w14:paraId="01C37411" w14:textId="129FDB11" w:rsidR="00954EF6" w:rsidRPr="000A7A3D" w:rsidRDefault="009D0E5D" w:rsidP="00723918">
            <w:pPr>
              <w:rPr>
                <w:color w:val="000000" w:themeColor="text1"/>
                <w:sz w:val="20"/>
              </w:rPr>
            </w:pPr>
            <w:r w:rsidRPr="004E46E3">
              <w:rPr>
                <w:color w:val="000000"/>
                <w:sz w:val="18"/>
                <w:lang w:val="de-DE"/>
              </w:rPr>
              <w:t>Zeichnungsbefugter Repräsentant des Lieferanten (Druckbuchstaben):</w:t>
            </w:r>
          </w:p>
        </w:tc>
      </w:tr>
      <w:tr w:rsidR="00954EF6" w:rsidRPr="00706AF1" w14:paraId="01C37417" w14:textId="77777777" w:rsidTr="002D16AB">
        <w:tc>
          <w:tcPr>
            <w:tcW w:w="5942" w:type="dxa"/>
          </w:tcPr>
          <w:p w14:paraId="1F34B082" w14:textId="77777777" w:rsidR="009D0E5D" w:rsidRPr="0045081A" w:rsidRDefault="009D0E5D" w:rsidP="009D0E5D">
            <w:pPr>
              <w:rPr>
                <w:color w:val="000000"/>
                <w:sz w:val="18"/>
              </w:rPr>
            </w:pPr>
            <w:proofErr w:type="spellStart"/>
            <w:r>
              <w:rPr>
                <w:color w:val="000000"/>
                <w:sz w:val="18"/>
              </w:rPr>
              <w:t>Firmenname</w:t>
            </w:r>
            <w:proofErr w:type="spellEnd"/>
            <w:r>
              <w:rPr>
                <w:color w:val="000000"/>
                <w:sz w:val="18"/>
              </w:rPr>
              <w:t>:</w:t>
            </w:r>
          </w:p>
          <w:p w14:paraId="01C37414" w14:textId="77777777" w:rsidR="00954EF6" w:rsidRPr="000A7A3D" w:rsidRDefault="00954EF6" w:rsidP="00723918">
            <w:pPr>
              <w:rPr>
                <w:color w:val="1F497D" w:themeColor="text2"/>
                <w:sz w:val="20"/>
              </w:rPr>
            </w:pPr>
          </w:p>
        </w:tc>
        <w:tc>
          <w:tcPr>
            <w:tcW w:w="533" w:type="dxa"/>
            <w:tcBorders>
              <w:top w:val="nil"/>
              <w:bottom w:val="nil"/>
            </w:tcBorders>
          </w:tcPr>
          <w:p w14:paraId="01C37415" w14:textId="77777777" w:rsidR="00954EF6" w:rsidRPr="00706AF1" w:rsidRDefault="00954EF6" w:rsidP="00723918">
            <w:pPr>
              <w:rPr>
                <w:color w:val="000000" w:themeColor="text1"/>
                <w:sz w:val="20"/>
              </w:rPr>
            </w:pPr>
          </w:p>
        </w:tc>
        <w:tc>
          <w:tcPr>
            <w:tcW w:w="6475" w:type="dxa"/>
            <w:vMerge/>
          </w:tcPr>
          <w:p w14:paraId="01C37416" w14:textId="77777777" w:rsidR="00954EF6" w:rsidRPr="00706AF1" w:rsidRDefault="00954EF6" w:rsidP="00723918">
            <w:pPr>
              <w:rPr>
                <w:color w:val="000000" w:themeColor="text1"/>
                <w:sz w:val="20"/>
              </w:rPr>
            </w:pPr>
          </w:p>
        </w:tc>
      </w:tr>
      <w:tr w:rsidR="00954EF6" w:rsidRPr="00706AF1" w14:paraId="01C3741C" w14:textId="77777777" w:rsidTr="002D16AB">
        <w:tc>
          <w:tcPr>
            <w:tcW w:w="5942" w:type="dxa"/>
          </w:tcPr>
          <w:p w14:paraId="01C37418" w14:textId="4743ED8B" w:rsidR="00954EF6" w:rsidRPr="00706AF1" w:rsidRDefault="009D0E5D" w:rsidP="00723918">
            <w:pPr>
              <w:rPr>
                <w:color w:val="000000" w:themeColor="text1"/>
                <w:sz w:val="20"/>
              </w:rPr>
            </w:pPr>
            <w:proofErr w:type="spellStart"/>
            <w:r>
              <w:rPr>
                <w:color w:val="000000"/>
                <w:sz w:val="18"/>
              </w:rPr>
              <w:t>Adresse</w:t>
            </w:r>
            <w:proofErr w:type="spellEnd"/>
            <w:r w:rsidR="00954EF6" w:rsidRPr="00706AF1">
              <w:rPr>
                <w:color w:val="000000" w:themeColor="text1"/>
                <w:sz w:val="20"/>
              </w:rPr>
              <w:t>:</w:t>
            </w:r>
          </w:p>
          <w:p w14:paraId="01C37419" w14:textId="77777777" w:rsidR="00954EF6" w:rsidRPr="00706AF1" w:rsidRDefault="00954EF6" w:rsidP="00723918">
            <w:pPr>
              <w:rPr>
                <w:color w:val="000000" w:themeColor="text1"/>
                <w:sz w:val="20"/>
              </w:rPr>
            </w:pPr>
          </w:p>
        </w:tc>
        <w:tc>
          <w:tcPr>
            <w:tcW w:w="533" w:type="dxa"/>
            <w:tcBorders>
              <w:top w:val="nil"/>
              <w:bottom w:val="nil"/>
            </w:tcBorders>
          </w:tcPr>
          <w:p w14:paraId="01C3741A" w14:textId="77777777" w:rsidR="00954EF6" w:rsidRPr="00706AF1" w:rsidRDefault="00954EF6" w:rsidP="00723918">
            <w:pPr>
              <w:rPr>
                <w:color w:val="000000" w:themeColor="text1"/>
                <w:sz w:val="20"/>
              </w:rPr>
            </w:pPr>
          </w:p>
        </w:tc>
        <w:tc>
          <w:tcPr>
            <w:tcW w:w="6475" w:type="dxa"/>
            <w:vMerge w:val="restart"/>
          </w:tcPr>
          <w:p w14:paraId="01C3741B" w14:textId="5AAC3D2B" w:rsidR="00954EF6" w:rsidRPr="00706AF1" w:rsidRDefault="009D0E5D" w:rsidP="00723918">
            <w:pPr>
              <w:rPr>
                <w:color w:val="000000" w:themeColor="text1"/>
                <w:sz w:val="20"/>
              </w:rPr>
            </w:pPr>
            <w:r w:rsidRPr="004E46E3">
              <w:rPr>
                <w:color w:val="000000"/>
                <w:sz w:val="18"/>
                <w:lang w:val="de-DE"/>
              </w:rPr>
              <w:t xml:space="preserve">Unterschrift des zeichnungsbefugten Repräsentanten des Lieferanten </w:t>
            </w:r>
            <w:r w:rsidRPr="004E46E3">
              <w:rPr>
                <w:color w:val="000000"/>
                <w:sz w:val="16"/>
                <w:lang w:val="de-DE"/>
              </w:rPr>
              <w:t>(zur Bestätigung, dass das Formular nach bestem Wissen und Gewissen korrekt und vollständig ausgefüllt wurde):</w:t>
            </w:r>
          </w:p>
        </w:tc>
      </w:tr>
      <w:tr w:rsidR="00954EF6" w:rsidRPr="00706AF1" w14:paraId="01C37421" w14:textId="77777777" w:rsidTr="002D16AB">
        <w:tc>
          <w:tcPr>
            <w:tcW w:w="5942" w:type="dxa"/>
          </w:tcPr>
          <w:p w14:paraId="01C3741D" w14:textId="545F55C3" w:rsidR="00954EF6" w:rsidRPr="00706AF1" w:rsidRDefault="009D0E5D" w:rsidP="00723918">
            <w:pPr>
              <w:rPr>
                <w:color w:val="000000" w:themeColor="text1"/>
                <w:sz w:val="20"/>
              </w:rPr>
            </w:pPr>
            <w:proofErr w:type="spellStart"/>
            <w:r>
              <w:rPr>
                <w:color w:val="000000"/>
                <w:sz w:val="18"/>
              </w:rPr>
              <w:t>Telefon</w:t>
            </w:r>
            <w:proofErr w:type="spellEnd"/>
            <w:r w:rsidR="00954EF6" w:rsidRPr="00706AF1">
              <w:rPr>
                <w:color w:val="000000" w:themeColor="text1"/>
                <w:sz w:val="20"/>
              </w:rPr>
              <w:t>:</w:t>
            </w:r>
          </w:p>
          <w:p w14:paraId="01C3741E" w14:textId="77777777" w:rsidR="00954EF6" w:rsidRPr="00706AF1" w:rsidRDefault="00954EF6" w:rsidP="00723918">
            <w:pPr>
              <w:rPr>
                <w:color w:val="000000" w:themeColor="text1"/>
                <w:sz w:val="20"/>
              </w:rPr>
            </w:pPr>
          </w:p>
        </w:tc>
        <w:tc>
          <w:tcPr>
            <w:tcW w:w="533" w:type="dxa"/>
            <w:tcBorders>
              <w:top w:val="nil"/>
              <w:bottom w:val="nil"/>
            </w:tcBorders>
          </w:tcPr>
          <w:p w14:paraId="01C3741F" w14:textId="77777777" w:rsidR="00954EF6" w:rsidRPr="00706AF1" w:rsidRDefault="00954EF6" w:rsidP="00723918">
            <w:pPr>
              <w:rPr>
                <w:color w:val="000000" w:themeColor="text1"/>
                <w:sz w:val="20"/>
              </w:rPr>
            </w:pPr>
          </w:p>
        </w:tc>
        <w:tc>
          <w:tcPr>
            <w:tcW w:w="6475" w:type="dxa"/>
            <w:vMerge/>
          </w:tcPr>
          <w:p w14:paraId="01C37420" w14:textId="77777777" w:rsidR="00954EF6" w:rsidRPr="00706AF1" w:rsidRDefault="00954EF6" w:rsidP="00723918">
            <w:pPr>
              <w:rPr>
                <w:color w:val="000000" w:themeColor="text1"/>
                <w:sz w:val="20"/>
              </w:rPr>
            </w:pPr>
          </w:p>
        </w:tc>
      </w:tr>
      <w:tr w:rsidR="00954EF6" w:rsidRPr="00706AF1" w14:paraId="01C37426" w14:textId="77777777" w:rsidTr="002D16AB">
        <w:tc>
          <w:tcPr>
            <w:tcW w:w="5942" w:type="dxa"/>
          </w:tcPr>
          <w:p w14:paraId="01C37422" w14:textId="138E127F" w:rsidR="00954EF6" w:rsidRPr="00706AF1" w:rsidRDefault="009D0E5D" w:rsidP="00723918">
            <w:pPr>
              <w:rPr>
                <w:color w:val="000000" w:themeColor="text1"/>
                <w:sz w:val="20"/>
              </w:rPr>
            </w:pPr>
            <w:r>
              <w:rPr>
                <w:color w:val="000000"/>
                <w:sz w:val="18"/>
              </w:rPr>
              <w:t>Email</w:t>
            </w:r>
            <w:r w:rsidR="00954EF6" w:rsidRPr="00706AF1">
              <w:rPr>
                <w:color w:val="000000" w:themeColor="text1"/>
                <w:sz w:val="20"/>
              </w:rPr>
              <w:t>:</w:t>
            </w:r>
          </w:p>
          <w:p w14:paraId="01C37423" w14:textId="77777777" w:rsidR="00954EF6" w:rsidRPr="00706AF1" w:rsidRDefault="00954EF6" w:rsidP="00723918">
            <w:pPr>
              <w:rPr>
                <w:color w:val="000000" w:themeColor="text1"/>
                <w:sz w:val="20"/>
              </w:rPr>
            </w:pPr>
          </w:p>
        </w:tc>
        <w:tc>
          <w:tcPr>
            <w:tcW w:w="533" w:type="dxa"/>
            <w:tcBorders>
              <w:top w:val="nil"/>
              <w:bottom w:val="nil"/>
            </w:tcBorders>
          </w:tcPr>
          <w:p w14:paraId="01C37424" w14:textId="77777777" w:rsidR="00954EF6" w:rsidRPr="00706AF1" w:rsidRDefault="00954EF6" w:rsidP="00723918">
            <w:pPr>
              <w:rPr>
                <w:color w:val="000000" w:themeColor="text1"/>
                <w:sz w:val="20"/>
              </w:rPr>
            </w:pPr>
          </w:p>
        </w:tc>
        <w:tc>
          <w:tcPr>
            <w:tcW w:w="6475" w:type="dxa"/>
          </w:tcPr>
          <w:p w14:paraId="01C37425" w14:textId="29185284" w:rsidR="00954EF6" w:rsidRPr="00706AF1" w:rsidRDefault="009D0E5D" w:rsidP="00723918">
            <w:pPr>
              <w:rPr>
                <w:color w:val="000000" w:themeColor="text1"/>
                <w:sz w:val="20"/>
              </w:rPr>
            </w:pPr>
            <w:r>
              <w:rPr>
                <w:color w:val="000000"/>
                <w:sz w:val="18"/>
              </w:rPr>
              <w:t>Datum:</w:t>
            </w:r>
          </w:p>
        </w:tc>
      </w:tr>
    </w:tbl>
    <w:p w14:paraId="01C37427" w14:textId="26E0E2B5" w:rsidR="00954EF6" w:rsidRPr="001F46F1" w:rsidRDefault="002D16AB" w:rsidP="006A5321">
      <w:pPr>
        <w:spacing w:before="60" w:after="60"/>
        <w:rPr>
          <w:sz w:val="20"/>
        </w:rPr>
      </w:pPr>
      <w:r w:rsidRPr="004E46E3">
        <w:rPr>
          <w:sz w:val="18"/>
          <w:lang w:val="de-DE"/>
        </w:rPr>
        <w:t>Weitere Informationen zum Ausfüllen und Aktualisieren des Arbeitsblatts Stoffangaben finden Sie im Informationsblatt.</w:t>
      </w:r>
    </w:p>
    <w:tbl>
      <w:tblPr>
        <w:tblStyle w:val="TableGrid"/>
        <w:tblW w:w="13158" w:type="dxa"/>
        <w:tblLayout w:type="fixed"/>
        <w:tblLook w:val="04A0" w:firstRow="1" w:lastRow="0" w:firstColumn="1" w:lastColumn="0" w:noHBand="0" w:noVBand="1"/>
      </w:tblPr>
      <w:tblGrid>
        <w:gridCol w:w="1982"/>
        <w:gridCol w:w="2536"/>
        <w:gridCol w:w="863"/>
        <w:gridCol w:w="1027"/>
        <w:gridCol w:w="1170"/>
        <w:gridCol w:w="1080"/>
        <w:gridCol w:w="3783"/>
        <w:gridCol w:w="717"/>
      </w:tblGrid>
      <w:tr w:rsidR="00974D53" w:rsidRPr="005E4993" w14:paraId="01C37434" w14:textId="77777777" w:rsidTr="00030736">
        <w:trPr>
          <w:trHeight w:val="548"/>
        </w:trPr>
        <w:tc>
          <w:tcPr>
            <w:tcW w:w="1982" w:type="dxa"/>
            <w:tcBorders>
              <w:top w:val="single" w:sz="12" w:space="0" w:color="auto"/>
              <w:left w:val="single" w:sz="12" w:space="0" w:color="000000" w:themeColor="text1"/>
              <w:bottom w:val="dashed" w:sz="4" w:space="0" w:color="auto"/>
            </w:tcBorders>
            <w:shd w:val="clear" w:color="auto" w:fill="DBE5F1" w:themeFill="accent1" w:themeFillTint="33"/>
            <w:vAlign w:val="center"/>
          </w:tcPr>
          <w:p w14:paraId="01C37428" w14:textId="061EB582" w:rsidR="00974D53" w:rsidRPr="002B4E56" w:rsidRDefault="00974D53" w:rsidP="00974D53">
            <w:pPr>
              <w:jc w:val="center"/>
              <w:rPr>
                <w:sz w:val="14"/>
                <w:szCs w:val="14"/>
              </w:rPr>
            </w:pPr>
            <w:r>
              <w:rPr>
                <w:rFonts w:eastAsia="Times New Roman"/>
                <w:sz w:val="14"/>
                <w:szCs w:val="14"/>
              </w:rPr>
              <w:t xml:space="preserve">X-Rite </w:t>
            </w:r>
            <w:proofErr w:type="spellStart"/>
            <w:r>
              <w:rPr>
                <w:rFonts w:eastAsia="Times New Roman"/>
                <w:sz w:val="14"/>
                <w:szCs w:val="14"/>
              </w:rPr>
              <w:t>Artikelnr</w:t>
            </w:r>
            <w:proofErr w:type="spellEnd"/>
            <w:r>
              <w:rPr>
                <w:rFonts w:eastAsia="Times New Roman"/>
                <w:sz w:val="14"/>
                <w:szCs w:val="14"/>
              </w:rPr>
              <w:t>.</w:t>
            </w:r>
          </w:p>
        </w:tc>
        <w:tc>
          <w:tcPr>
            <w:tcW w:w="2536" w:type="dxa"/>
            <w:vMerge w:val="restart"/>
            <w:tcBorders>
              <w:top w:val="single" w:sz="12" w:space="0" w:color="auto"/>
            </w:tcBorders>
            <w:shd w:val="clear" w:color="auto" w:fill="DBE5F1" w:themeFill="accent1" w:themeFillTint="33"/>
            <w:vAlign w:val="center"/>
          </w:tcPr>
          <w:p w14:paraId="01C37429" w14:textId="40FC62FA" w:rsidR="00974D53" w:rsidRPr="002B4E56" w:rsidRDefault="00974D53" w:rsidP="00974D53">
            <w:pPr>
              <w:jc w:val="center"/>
              <w:rPr>
                <w:sz w:val="14"/>
                <w:szCs w:val="14"/>
              </w:rPr>
            </w:pPr>
            <w:proofErr w:type="spellStart"/>
            <w:r>
              <w:rPr>
                <w:rFonts w:eastAsia="Times New Roman"/>
                <w:sz w:val="14"/>
                <w:szCs w:val="14"/>
              </w:rPr>
              <w:t>Teile</w:t>
            </w:r>
            <w:proofErr w:type="spellEnd"/>
            <w:r>
              <w:rPr>
                <w:rFonts w:eastAsia="Times New Roman"/>
                <w:sz w:val="14"/>
                <w:szCs w:val="14"/>
              </w:rPr>
              <w:t xml:space="preserve">- </w:t>
            </w:r>
            <w:proofErr w:type="spellStart"/>
            <w:r>
              <w:rPr>
                <w:rFonts w:eastAsia="Times New Roman"/>
                <w:sz w:val="14"/>
                <w:szCs w:val="14"/>
              </w:rPr>
              <w:t>oder</w:t>
            </w:r>
            <w:proofErr w:type="spellEnd"/>
            <w:r>
              <w:rPr>
                <w:rFonts w:eastAsia="Times New Roman"/>
                <w:sz w:val="14"/>
                <w:szCs w:val="14"/>
              </w:rPr>
              <w:t xml:space="preserve"> </w:t>
            </w:r>
            <w:proofErr w:type="spellStart"/>
            <w:r>
              <w:rPr>
                <w:rFonts w:eastAsia="Times New Roman"/>
                <w:sz w:val="14"/>
                <w:szCs w:val="14"/>
              </w:rPr>
              <w:t>Werkstoff</w:t>
            </w:r>
            <w:r>
              <w:rPr>
                <w:rFonts w:eastAsia="Times New Roman"/>
                <w:sz w:val="14"/>
                <w:szCs w:val="14"/>
              </w:rPr>
              <w:softHyphen/>
              <w:t>beschreibung</w:t>
            </w:r>
            <w:proofErr w:type="spellEnd"/>
          </w:p>
        </w:tc>
        <w:tc>
          <w:tcPr>
            <w:tcW w:w="863" w:type="dxa"/>
            <w:vMerge w:val="restart"/>
            <w:tcBorders>
              <w:top w:val="single" w:sz="12" w:space="0" w:color="auto"/>
            </w:tcBorders>
            <w:shd w:val="clear" w:color="auto" w:fill="DBE5F1" w:themeFill="accent1" w:themeFillTint="33"/>
            <w:vAlign w:val="center"/>
          </w:tcPr>
          <w:p w14:paraId="01C3742A" w14:textId="6D37A269" w:rsidR="00974D53" w:rsidRPr="002B4E56" w:rsidRDefault="00974D53" w:rsidP="00974D53">
            <w:pPr>
              <w:spacing w:before="120"/>
              <w:jc w:val="center"/>
              <w:rPr>
                <w:rFonts w:eastAsia="Times New Roman"/>
                <w:sz w:val="14"/>
                <w:szCs w:val="14"/>
              </w:rPr>
            </w:pPr>
            <w:proofErr w:type="spellStart"/>
            <w:r>
              <w:rPr>
                <w:rFonts w:eastAsia="Times New Roman"/>
                <w:sz w:val="14"/>
                <w:szCs w:val="14"/>
              </w:rPr>
              <w:t>Teile</w:t>
            </w:r>
            <w:proofErr w:type="spellEnd"/>
            <w:r>
              <w:rPr>
                <w:rFonts w:eastAsia="Times New Roman"/>
                <w:sz w:val="14"/>
                <w:szCs w:val="14"/>
              </w:rPr>
              <w:t xml:space="preserve">- </w:t>
            </w:r>
            <w:proofErr w:type="spellStart"/>
            <w:r>
              <w:rPr>
                <w:rFonts w:eastAsia="Times New Roman"/>
                <w:sz w:val="14"/>
                <w:szCs w:val="14"/>
              </w:rPr>
              <w:t>oder</w:t>
            </w:r>
            <w:proofErr w:type="spellEnd"/>
            <w:r>
              <w:rPr>
                <w:rFonts w:eastAsia="Times New Roman"/>
                <w:sz w:val="14"/>
                <w:szCs w:val="14"/>
              </w:rPr>
              <w:t xml:space="preserve"> </w:t>
            </w:r>
            <w:proofErr w:type="spellStart"/>
            <w:r>
              <w:rPr>
                <w:rFonts w:eastAsia="Times New Roman"/>
                <w:sz w:val="14"/>
                <w:szCs w:val="14"/>
              </w:rPr>
              <w:t>Werkstoff</w:t>
            </w:r>
            <w:r>
              <w:rPr>
                <w:rFonts w:eastAsia="Times New Roman"/>
                <w:sz w:val="14"/>
                <w:szCs w:val="14"/>
              </w:rPr>
              <w:softHyphen/>
              <w:t>gewicht</w:t>
            </w:r>
            <w:proofErr w:type="spellEnd"/>
            <w:r>
              <w:rPr>
                <w:rFonts w:eastAsia="Times New Roman"/>
                <w:sz w:val="14"/>
                <w:szCs w:val="14"/>
              </w:rPr>
              <w:t xml:space="preserve"> (Gramm)</w:t>
            </w:r>
          </w:p>
        </w:tc>
        <w:tc>
          <w:tcPr>
            <w:tcW w:w="1027" w:type="dxa"/>
            <w:vMerge w:val="restart"/>
            <w:tcBorders>
              <w:top w:val="single" w:sz="12" w:space="0" w:color="auto"/>
            </w:tcBorders>
            <w:shd w:val="clear" w:color="auto" w:fill="DBE5F1" w:themeFill="accent1" w:themeFillTint="33"/>
            <w:vAlign w:val="center"/>
          </w:tcPr>
          <w:p w14:paraId="01C3742B" w14:textId="64AD2046" w:rsidR="00974D53" w:rsidRPr="002B4E56" w:rsidRDefault="00974D53" w:rsidP="00974D53">
            <w:pPr>
              <w:spacing w:before="120"/>
              <w:jc w:val="center"/>
              <w:rPr>
                <w:rFonts w:eastAsia="Times New Roman"/>
                <w:sz w:val="14"/>
                <w:szCs w:val="14"/>
              </w:rPr>
            </w:pPr>
            <w:r>
              <w:rPr>
                <w:rFonts w:eastAsia="Times New Roman"/>
                <w:sz w:val="14"/>
                <w:szCs w:val="14"/>
              </w:rPr>
              <w:t xml:space="preserve">RoHS </w:t>
            </w:r>
            <w:proofErr w:type="spellStart"/>
            <w:r>
              <w:rPr>
                <w:rFonts w:eastAsia="Times New Roman"/>
                <w:sz w:val="14"/>
                <w:szCs w:val="14"/>
              </w:rPr>
              <w:t>erfüllt</w:t>
            </w:r>
            <w:proofErr w:type="spellEnd"/>
            <w:r>
              <w:rPr>
                <w:rFonts w:eastAsia="Times New Roman"/>
                <w:sz w:val="14"/>
                <w:szCs w:val="14"/>
              </w:rPr>
              <w:t>?</w:t>
            </w:r>
          </w:p>
        </w:tc>
        <w:tc>
          <w:tcPr>
            <w:tcW w:w="1170" w:type="dxa"/>
            <w:vMerge w:val="restart"/>
            <w:tcBorders>
              <w:top w:val="single" w:sz="12" w:space="0" w:color="auto"/>
            </w:tcBorders>
            <w:shd w:val="clear" w:color="auto" w:fill="DBE5F1" w:themeFill="accent1" w:themeFillTint="33"/>
            <w:vAlign w:val="center"/>
          </w:tcPr>
          <w:p w14:paraId="01C3742D" w14:textId="28F821FC" w:rsidR="00974D53" w:rsidRPr="002B4E56" w:rsidRDefault="00974D53" w:rsidP="00974D53">
            <w:pPr>
              <w:jc w:val="center"/>
              <w:rPr>
                <w:rFonts w:eastAsia="Times New Roman"/>
                <w:color w:val="000000"/>
                <w:sz w:val="14"/>
                <w:szCs w:val="14"/>
              </w:rPr>
            </w:pPr>
            <w:r w:rsidRPr="004E46E3">
              <w:rPr>
                <w:rFonts w:cs="Times New Roman"/>
                <w:sz w:val="14"/>
                <w:szCs w:val="14"/>
                <w:lang w:val="de-DE"/>
              </w:rPr>
              <w:t>Alle REACH SVHC-Inhalte in Produkten oder Produktteilen &gt; 0,1% wt/wt?</w:t>
            </w:r>
          </w:p>
        </w:tc>
        <w:tc>
          <w:tcPr>
            <w:tcW w:w="1080" w:type="dxa"/>
            <w:vMerge w:val="restart"/>
            <w:tcBorders>
              <w:top w:val="single" w:sz="12" w:space="0" w:color="auto"/>
            </w:tcBorders>
            <w:shd w:val="clear" w:color="auto" w:fill="DBE5F1" w:themeFill="accent1" w:themeFillTint="33"/>
            <w:vAlign w:val="center"/>
          </w:tcPr>
          <w:p w14:paraId="79B3BCDE" w14:textId="77777777" w:rsidR="00974D53" w:rsidRPr="004E46E3" w:rsidRDefault="00974D53" w:rsidP="00974D53">
            <w:pPr>
              <w:jc w:val="center"/>
              <w:rPr>
                <w:rFonts w:cs="Times New Roman"/>
                <w:sz w:val="14"/>
                <w:szCs w:val="14"/>
                <w:lang w:val="de-DE"/>
              </w:rPr>
            </w:pPr>
            <w:r w:rsidRPr="004E46E3">
              <w:rPr>
                <w:rFonts w:cs="Times New Roman"/>
                <w:sz w:val="14"/>
                <w:szCs w:val="14"/>
                <w:lang w:val="de-DE"/>
              </w:rPr>
              <w:t>Eventuell andere eingeschränkte oder meldepflichtige Stoffe?</w:t>
            </w:r>
          </w:p>
          <w:p w14:paraId="01C3742E" w14:textId="523C9883" w:rsidR="00974D53" w:rsidRPr="002B4E56" w:rsidRDefault="00974D53" w:rsidP="00974D53">
            <w:pPr>
              <w:jc w:val="center"/>
              <w:rPr>
                <w:rFonts w:eastAsia="Times New Roman"/>
                <w:color w:val="000000"/>
                <w:sz w:val="14"/>
                <w:szCs w:val="14"/>
              </w:rPr>
            </w:pPr>
          </w:p>
        </w:tc>
        <w:tc>
          <w:tcPr>
            <w:tcW w:w="3783" w:type="dxa"/>
            <w:vMerge w:val="restart"/>
            <w:tcBorders>
              <w:top w:val="single" w:sz="12" w:space="0" w:color="auto"/>
            </w:tcBorders>
            <w:shd w:val="clear" w:color="auto" w:fill="DBE5F1" w:themeFill="accent1" w:themeFillTint="33"/>
            <w:vAlign w:val="center"/>
          </w:tcPr>
          <w:p w14:paraId="5B1EC277" w14:textId="77777777" w:rsidR="00974D53" w:rsidRPr="004E46E3" w:rsidRDefault="00974D53" w:rsidP="00974D53">
            <w:pPr>
              <w:pStyle w:val="ListParagraph"/>
              <w:ind w:left="0"/>
              <w:rPr>
                <w:rFonts w:cs="Times New Roman"/>
                <w:sz w:val="14"/>
                <w:szCs w:val="14"/>
                <w:lang w:val="de-DE"/>
              </w:rPr>
            </w:pPr>
            <w:r w:rsidRPr="004E46E3">
              <w:rPr>
                <w:rFonts w:cs="Times New Roman"/>
                <w:sz w:val="14"/>
                <w:szCs w:val="14"/>
                <w:lang w:val="de-DE"/>
              </w:rPr>
              <w:t>Liste erstellen und/oder Erklärung machen zu eventuellen:</w:t>
            </w:r>
          </w:p>
          <w:p w14:paraId="4617265F" w14:textId="77777777" w:rsidR="00974D53" w:rsidRPr="004E46E3" w:rsidRDefault="00974D53" w:rsidP="00C5606C">
            <w:pPr>
              <w:pStyle w:val="ListParagraph"/>
              <w:numPr>
                <w:ilvl w:val="0"/>
                <w:numId w:val="5"/>
              </w:numPr>
              <w:ind w:left="162" w:hanging="162"/>
              <w:rPr>
                <w:rFonts w:cs="Times New Roman"/>
                <w:sz w:val="14"/>
                <w:szCs w:val="14"/>
                <w:lang w:val="de-DE"/>
              </w:rPr>
            </w:pPr>
            <w:r w:rsidRPr="004E46E3">
              <w:rPr>
                <w:rFonts w:cs="Times New Roman"/>
                <w:sz w:val="14"/>
                <w:szCs w:val="14"/>
                <w:lang w:val="de-DE"/>
              </w:rPr>
              <w:t>RoHS Anhang III &amp; IV Ausnahmen, die für Erfüllung verwendet werden</w:t>
            </w:r>
          </w:p>
          <w:p w14:paraId="0127EDDF" w14:textId="77777777" w:rsidR="00974D53" w:rsidRPr="004E46E3" w:rsidRDefault="00974D53" w:rsidP="00C5606C">
            <w:pPr>
              <w:pStyle w:val="ListParagraph"/>
              <w:numPr>
                <w:ilvl w:val="0"/>
                <w:numId w:val="5"/>
              </w:numPr>
              <w:ind w:left="162" w:hanging="162"/>
              <w:rPr>
                <w:rFonts w:cs="Times New Roman"/>
                <w:sz w:val="14"/>
                <w:szCs w:val="14"/>
                <w:lang w:val="de-DE"/>
              </w:rPr>
            </w:pPr>
            <w:r w:rsidRPr="004E46E3">
              <w:rPr>
                <w:rFonts w:cs="Times New Roman"/>
                <w:sz w:val="14"/>
                <w:szCs w:val="14"/>
                <w:lang w:val="de-DE"/>
              </w:rPr>
              <w:t>SVHC-Konzentrationen von &gt; 0,1% (Stoffe und tatsächlichen Gehalt aufführen)</w:t>
            </w:r>
          </w:p>
          <w:p w14:paraId="01C37432" w14:textId="73DD31F1" w:rsidR="00974D53" w:rsidRPr="002B4E56" w:rsidRDefault="00974D53" w:rsidP="00C5606C">
            <w:pPr>
              <w:pStyle w:val="ListParagraph"/>
              <w:numPr>
                <w:ilvl w:val="0"/>
                <w:numId w:val="5"/>
              </w:numPr>
              <w:ind w:left="162" w:hanging="162"/>
              <w:rPr>
                <w:rFonts w:eastAsia="Times New Roman"/>
                <w:color w:val="000000" w:themeColor="text1"/>
                <w:sz w:val="14"/>
                <w:szCs w:val="14"/>
              </w:rPr>
            </w:pPr>
            <w:r w:rsidRPr="004E46E3">
              <w:rPr>
                <w:rFonts w:cs="Times New Roman"/>
                <w:sz w:val="14"/>
                <w:szCs w:val="14"/>
                <w:lang w:val="de-DE"/>
              </w:rPr>
              <w:t>Zusätzliche Stoffe, die den aufgeführten Grenzwert überschreiten (Stoffe und tatsächlichen Gehalt aufführen)</w:t>
            </w:r>
          </w:p>
        </w:tc>
        <w:tc>
          <w:tcPr>
            <w:tcW w:w="717" w:type="dxa"/>
            <w:vMerge w:val="restart"/>
            <w:tcBorders>
              <w:top w:val="single" w:sz="12" w:space="0" w:color="auto"/>
              <w:right w:val="single" w:sz="12" w:space="0" w:color="000000" w:themeColor="text1"/>
            </w:tcBorders>
            <w:shd w:val="clear" w:color="auto" w:fill="DBE5F1" w:themeFill="accent1" w:themeFillTint="33"/>
            <w:vAlign w:val="center"/>
          </w:tcPr>
          <w:p w14:paraId="01C37433" w14:textId="77777777" w:rsidR="00974D53" w:rsidRPr="002B4E56" w:rsidRDefault="00974D53" w:rsidP="00974D53">
            <w:pPr>
              <w:jc w:val="center"/>
              <w:rPr>
                <w:sz w:val="14"/>
                <w:szCs w:val="14"/>
              </w:rPr>
            </w:pPr>
            <w:r w:rsidRPr="002B4E56">
              <w:rPr>
                <w:rFonts w:eastAsia="Times New Roman"/>
                <w:sz w:val="14"/>
                <w:szCs w:val="14"/>
              </w:rPr>
              <w:t>% or ppm</w:t>
            </w:r>
          </w:p>
        </w:tc>
      </w:tr>
      <w:tr w:rsidR="00C84527" w:rsidRPr="005E4993" w14:paraId="01C3743D" w14:textId="77777777" w:rsidTr="00030736">
        <w:trPr>
          <w:trHeight w:val="468"/>
        </w:trPr>
        <w:tc>
          <w:tcPr>
            <w:tcW w:w="1982" w:type="dxa"/>
            <w:tcBorders>
              <w:top w:val="dashed" w:sz="4" w:space="0" w:color="auto"/>
              <w:left w:val="single" w:sz="12" w:space="0" w:color="000000" w:themeColor="text1"/>
              <w:bottom w:val="single" w:sz="12" w:space="0" w:color="auto"/>
            </w:tcBorders>
            <w:shd w:val="clear" w:color="auto" w:fill="DBE5F1" w:themeFill="accent1" w:themeFillTint="33"/>
            <w:vAlign w:val="center"/>
          </w:tcPr>
          <w:p w14:paraId="01C37435" w14:textId="0E237A95" w:rsidR="00A60A00" w:rsidRPr="002B4E56" w:rsidRDefault="00974D53" w:rsidP="00723918">
            <w:pPr>
              <w:jc w:val="center"/>
              <w:rPr>
                <w:sz w:val="14"/>
                <w:szCs w:val="14"/>
              </w:rPr>
            </w:pPr>
            <w:proofErr w:type="spellStart"/>
            <w:r>
              <w:rPr>
                <w:rFonts w:eastAsia="Times New Roman"/>
                <w:sz w:val="14"/>
                <w:szCs w:val="14"/>
              </w:rPr>
              <w:t>Artikelnummer</w:t>
            </w:r>
            <w:proofErr w:type="spellEnd"/>
            <w:r>
              <w:rPr>
                <w:rFonts w:eastAsia="Times New Roman"/>
                <w:sz w:val="14"/>
                <w:szCs w:val="14"/>
              </w:rPr>
              <w:t xml:space="preserve"> des </w:t>
            </w:r>
            <w:proofErr w:type="spellStart"/>
            <w:r>
              <w:rPr>
                <w:rFonts w:eastAsia="Times New Roman"/>
                <w:sz w:val="14"/>
                <w:szCs w:val="14"/>
              </w:rPr>
              <w:t>Lieferanten</w:t>
            </w:r>
            <w:proofErr w:type="spellEnd"/>
          </w:p>
        </w:tc>
        <w:tc>
          <w:tcPr>
            <w:tcW w:w="2536" w:type="dxa"/>
            <w:vMerge/>
            <w:tcBorders>
              <w:bottom w:val="single" w:sz="12" w:space="0" w:color="auto"/>
            </w:tcBorders>
            <w:shd w:val="clear" w:color="auto" w:fill="DBE5F1" w:themeFill="accent1" w:themeFillTint="33"/>
            <w:vAlign w:val="center"/>
          </w:tcPr>
          <w:p w14:paraId="01C37436" w14:textId="77777777" w:rsidR="00A60A00" w:rsidRPr="002B4E56" w:rsidRDefault="00A60A00" w:rsidP="00723918">
            <w:pPr>
              <w:jc w:val="center"/>
              <w:rPr>
                <w:sz w:val="14"/>
                <w:szCs w:val="14"/>
              </w:rPr>
            </w:pPr>
          </w:p>
        </w:tc>
        <w:tc>
          <w:tcPr>
            <w:tcW w:w="863" w:type="dxa"/>
            <w:vMerge/>
            <w:tcBorders>
              <w:bottom w:val="single" w:sz="12" w:space="0" w:color="auto"/>
            </w:tcBorders>
            <w:shd w:val="clear" w:color="auto" w:fill="DBE5F1" w:themeFill="accent1" w:themeFillTint="33"/>
          </w:tcPr>
          <w:p w14:paraId="01C37437" w14:textId="77777777" w:rsidR="00A60A00" w:rsidRPr="002B4E56" w:rsidRDefault="00A60A00" w:rsidP="00723918">
            <w:pPr>
              <w:spacing w:before="120"/>
              <w:jc w:val="center"/>
              <w:rPr>
                <w:rFonts w:eastAsia="Times New Roman"/>
                <w:color w:val="000000"/>
                <w:sz w:val="14"/>
                <w:szCs w:val="14"/>
              </w:rPr>
            </w:pPr>
          </w:p>
        </w:tc>
        <w:tc>
          <w:tcPr>
            <w:tcW w:w="1027" w:type="dxa"/>
            <w:vMerge/>
            <w:tcBorders>
              <w:bottom w:val="single" w:sz="12" w:space="0" w:color="auto"/>
            </w:tcBorders>
            <w:shd w:val="clear" w:color="auto" w:fill="DBE5F1" w:themeFill="accent1" w:themeFillTint="33"/>
            <w:vAlign w:val="center"/>
          </w:tcPr>
          <w:p w14:paraId="01C37438" w14:textId="77777777" w:rsidR="00A60A00" w:rsidRPr="002B4E56" w:rsidRDefault="00A60A00" w:rsidP="00C84527">
            <w:pPr>
              <w:spacing w:before="120"/>
              <w:jc w:val="center"/>
              <w:rPr>
                <w:rFonts w:eastAsia="Times New Roman"/>
                <w:color w:val="000000"/>
                <w:sz w:val="14"/>
                <w:szCs w:val="14"/>
              </w:rPr>
            </w:pPr>
          </w:p>
        </w:tc>
        <w:tc>
          <w:tcPr>
            <w:tcW w:w="1170" w:type="dxa"/>
            <w:vMerge/>
            <w:tcBorders>
              <w:bottom w:val="single" w:sz="12" w:space="0" w:color="auto"/>
            </w:tcBorders>
            <w:shd w:val="clear" w:color="auto" w:fill="DBE5F1" w:themeFill="accent1" w:themeFillTint="33"/>
            <w:vAlign w:val="center"/>
          </w:tcPr>
          <w:p w14:paraId="01C37439" w14:textId="77777777" w:rsidR="00A60A00" w:rsidRPr="002B4E56" w:rsidRDefault="00A60A00" w:rsidP="00C84527">
            <w:pPr>
              <w:jc w:val="center"/>
              <w:rPr>
                <w:rFonts w:eastAsia="Times New Roman"/>
                <w:color w:val="000000"/>
                <w:sz w:val="14"/>
                <w:szCs w:val="14"/>
              </w:rPr>
            </w:pPr>
          </w:p>
        </w:tc>
        <w:tc>
          <w:tcPr>
            <w:tcW w:w="1080" w:type="dxa"/>
            <w:vMerge/>
            <w:tcBorders>
              <w:bottom w:val="single" w:sz="12" w:space="0" w:color="auto"/>
            </w:tcBorders>
            <w:shd w:val="clear" w:color="auto" w:fill="DBE5F1" w:themeFill="accent1" w:themeFillTint="33"/>
            <w:vAlign w:val="center"/>
          </w:tcPr>
          <w:p w14:paraId="01C3743A" w14:textId="77777777" w:rsidR="00A60A00" w:rsidRPr="002B4E56" w:rsidRDefault="00A60A00" w:rsidP="00723918">
            <w:pPr>
              <w:jc w:val="center"/>
              <w:rPr>
                <w:rFonts w:eastAsia="Times New Roman"/>
                <w:color w:val="000000"/>
                <w:sz w:val="14"/>
                <w:szCs w:val="14"/>
              </w:rPr>
            </w:pPr>
          </w:p>
        </w:tc>
        <w:tc>
          <w:tcPr>
            <w:tcW w:w="3783" w:type="dxa"/>
            <w:vMerge/>
            <w:tcBorders>
              <w:bottom w:val="single" w:sz="12" w:space="0" w:color="auto"/>
            </w:tcBorders>
            <w:shd w:val="clear" w:color="auto" w:fill="DBE5F1" w:themeFill="accent1" w:themeFillTint="33"/>
            <w:vAlign w:val="center"/>
          </w:tcPr>
          <w:p w14:paraId="01C3743B" w14:textId="77777777" w:rsidR="00A60A00" w:rsidRPr="002B4E56" w:rsidRDefault="00A60A00" w:rsidP="00723918">
            <w:pPr>
              <w:jc w:val="center"/>
              <w:rPr>
                <w:sz w:val="14"/>
                <w:szCs w:val="14"/>
              </w:rPr>
            </w:pPr>
          </w:p>
        </w:tc>
        <w:tc>
          <w:tcPr>
            <w:tcW w:w="717" w:type="dxa"/>
            <w:vMerge/>
            <w:tcBorders>
              <w:bottom w:val="single" w:sz="12" w:space="0" w:color="auto"/>
              <w:right w:val="single" w:sz="12" w:space="0" w:color="000000" w:themeColor="text1"/>
            </w:tcBorders>
            <w:shd w:val="clear" w:color="auto" w:fill="DBE5F1" w:themeFill="accent1" w:themeFillTint="33"/>
            <w:vAlign w:val="center"/>
          </w:tcPr>
          <w:p w14:paraId="01C3743C" w14:textId="77777777" w:rsidR="00A60A00" w:rsidRPr="002B4E56" w:rsidRDefault="00A60A00" w:rsidP="00723918">
            <w:pPr>
              <w:jc w:val="center"/>
              <w:rPr>
                <w:sz w:val="14"/>
                <w:szCs w:val="14"/>
              </w:rPr>
            </w:pPr>
          </w:p>
        </w:tc>
      </w:tr>
      <w:tr w:rsidR="00C84527" w:rsidRPr="005E4993" w14:paraId="01C3745B" w14:textId="77777777" w:rsidTr="00030736">
        <w:trPr>
          <w:trHeight w:val="473"/>
        </w:trPr>
        <w:tc>
          <w:tcPr>
            <w:tcW w:w="1982" w:type="dxa"/>
            <w:tcBorders>
              <w:top w:val="single" w:sz="12" w:space="0" w:color="auto"/>
              <w:left w:val="single" w:sz="12" w:space="0" w:color="000000" w:themeColor="text1"/>
              <w:bottom w:val="dashed" w:sz="4" w:space="0" w:color="auto"/>
            </w:tcBorders>
          </w:tcPr>
          <w:p w14:paraId="01C3743E" w14:textId="77777777" w:rsidR="00A60A00" w:rsidRPr="00CF2D28" w:rsidRDefault="00A60A00" w:rsidP="00723918">
            <w:pPr>
              <w:spacing w:line="360" w:lineRule="auto"/>
              <w:rPr>
                <w:sz w:val="18"/>
                <w:szCs w:val="20"/>
              </w:rPr>
            </w:pPr>
          </w:p>
        </w:tc>
        <w:tc>
          <w:tcPr>
            <w:tcW w:w="2536" w:type="dxa"/>
            <w:vMerge w:val="restart"/>
            <w:tcBorders>
              <w:top w:val="single" w:sz="12" w:space="0" w:color="auto"/>
            </w:tcBorders>
          </w:tcPr>
          <w:p w14:paraId="01C3743F" w14:textId="77777777" w:rsidR="00A60A00" w:rsidRPr="00CF2D28" w:rsidRDefault="00A60A00" w:rsidP="00723918">
            <w:pPr>
              <w:spacing w:line="360" w:lineRule="auto"/>
              <w:rPr>
                <w:sz w:val="18"/>
                <w:szCs w:val="20"/>
              </w:rPr>
            </w:pPr>
          </w:p>
        </w:tc>
        <w:tc>
          <w:tcPr>
            <w:tcW w:w="863" w:type="dxa"/>
            <w:vMerge w:val="restart"/>
            <w:tcBorders>
              <w:top w:val="single" w:sz="12" w:space="0" w:color="auto"/>
            </w:tcBorders>
          </w:tcPr>
          <w:p w14:paraId="01C37440" w14:textId="77777777" w:rsidR="00A60A00" w:rsidRPr="00CF2D28" w:rsidRDefault="00A60A00" w:rsidP="00247F32">
            <w:pPr>
              <w:ind w:left="-54"/>
              <w:jc w:val="right"/>
              <w:rPr>
                <w:rFonts w:eastAsia="Times New Roman"/>
                <w:color w:val="000000"/>
                <w:sz w:val="18"/>
                <w:szCs w:val="20"/>
              </w:rPr>
            </w:pPr>
          </w:p>
        </w:tc>
        <w:tc>
          <w:tcPr>
            <w:tcW w:w="1027"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A1B7C" w:rsidRPr="002B4E56" w14:paraId="3AFB04F6" w14:textId="77777777" w:rsidTr="00851A55">
              <w:trPr>
                <w:trHeight w:hRule="exact" w:val="216"/>
                <w:tblCellSpacing w:w="14" w:type="dxa"/>
              </w:trPr>
              <w:tc>
                <w:tcPr>
                  <w:tcW w:w="601" w:type="dxa"/>
                  <w:vAlign w:val="center"/>
                </w:tcPr>
                <w:p w14:paraId="77AE41A7" w14:textId="43BBE781" w:rsidR="00C84527" w:rsidRPr="002B4E56" w:rsidRDefault="001A7430" w:rsidP="00A7068B">
                  <w:pPr>
                    <w:ind w:left="-54"/>
                    <w:jc w:val="center"/>
                    <w:rPr>
                      <w:rFonts w:eastAsia="Times New Roman"/>
                      <w:color w:val="000000" w:themeColor="text1"/>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9AC7C" w14:textId="77777777" w:rsidR="00C84527" w:rsidRPr="002B4E56" w:rsidRDefault="00C84527" w:rsidP="00A7068B">
                  <w:pPr>
                    <w:jc w:val="center"/>
                    <w:rPr>
                      <w:rFonts w:eastAsia="Times New Roman"/>
                      <w:color w:val="000000" w:themeColor="text1"/>
                      <w:sz w:val="14"/>
                      <w:szCs w:val="14"/>
                    </w:rPr>
                  </w:pPr>
                </w:p>
              </w:tc>
            </w:tr>
            <w:tr w:rsidR="008A1B7C" w:rsidRPr="002B4E56" w14:paraId="2BB19A7D" w14:textId="77777777" w:rsidTr="00851A55">
              <w:trPr>
                <w:trHeight w:hRule="exact" w:val="216"/>
                <w:tblCellSpacing w:w="14" w:type="dxa"/>
              </w:trPr>
              <w:tc>
                <w:tcPr>
                  <w:tcW w:w="601" w:type="dxa"/>
                  <w:vAlign w:val="center"/>
                </w:tcPr>
                <w:p w14:paraId="4AFA2B35" w14:textId="0A8B0998" w:rsidR="00C84527" w:rsidRPr="002B4E56" w:rsidRDefault="00C84527" w:rsidP="00A7068B">
                  <w:pPr>
                    <w:ind w:left="-54"/>
                    <w:jc w:val="center"/>
                    <w:rPr>
                      <w:rFonts w:eastAsia="Times New Roman"/>
                      <w:color w:val="000000" w:themeColor="text1"/>
                      <w:sz w:val="14"/>
                      <w:szCs w:val="14"/>
                    </w:rPr>
                  </w:pPr>
                  <w:proofErr w:type="spellStart"/>
                  <w:r w:rsidRPr="002B4E56">
                    <w:rPr>
                      <w:rFonts w:eastAsia="Times New Roman"/>
                      <w:color w:val="000000" w:themeColor="text1"/>
                      <w:sz w:val="14"/>
                      <w:szCs w:val="14"/>
                    </w:rPr>
                    <w:t>N</w:t>
                  </w:r>
                  <w:r w:rsidR="001A7430">
                    <w:rPr>
                      <w:rFonts w:eastAsia="Times New Roman"/>
                      <w:color w:val="000000" w:themeColor="text1"/>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861EC" w14:textId="77777777" w:rsidR="00C84527" w:rsidRPr="002B4E56" w:rsidRDefault="00C84527" w:rsidP="00A7068B">
                  <w:pPr>
                    <w:jc w:val="center"/>
                    <w:rPr>
                      <w:rFonts w:eastAsia="Times New Roman"/>
                      <w:color w:val="000000" w:themeColor="text1"/>
                      <w:sz w:val="14"/>
                      <w:szCs w:val="14"/>
                    </w:rPr>
                  </w:pPr>
                </w:p>
              </w:tc>
            </w:tr>
            <w:tr w:rsidR="008A1B7C" w:rsidRPr="002B4E56" w14:paraId="3FFD4AF6" w14:textId="77777777" w:rsidTr="00851A55">
              <w:trPr>
                <w:trHeight w:hRule="exact" w:val="216"/>
                <w:tblCellSpacing w:w="14" w:type="dxa"/>
              </w:trPr>
              <w:tc>
                <w:tcPr>
                  <w:tcW w:w="601" w:type="dxa"/>
                  <w:vAlign w:val="center"/>
                </w:tcPr>
                <w:p w14:paraId="57807BB6" w14:textId="55AECF60" w:rsidR="00C84527" w:rsidRPr="002B4E56" w:rsidRDefault="0068600B" w:rsidP="00A7068B">
                  <w:pPr>
                    <w:rPr>
                      <w:rFonts w:eastAsia="Times New Roman"/>
                      <w:color w:val="000000" w:themeColor="text1"/>
                      <w:sz w:val="14"/>
                      <w:szCs w:val="14"/>
                    </w:rPr>
                  </w:pPr>
                  <w:r>
                    <w:rPr>
                      <w:rFonts w:eastAsia="Times New Roman"/>
                      <w:color w:val="000000"/>
                      <w:sz w:val="14"/>
                      <w:szCs w:val="14"/>
                    </w:rPr>
                    <w:t xml:space="preserve"> </w:t>
                  </w:r>
                  <w:r w:rsidR="00C4506C">
                    <w:rPr>
                      <w:rFonts w:eastAsia="Times New Roman"/>
                      <w:color w:val="000000"/>
                      <w:sz w:val="14"/>
                      <w:szCs w:val="14"/>
                    </w:rPr>
                    <w:t>Ja</w:t>
                  </w:r>
                  <w:r w:rsidR="00A7068B" w:rsidRPr="002B4E56">
                    <w:rPr>
                      <w:rFonts w:eastAsia="Times New Roman"/>
                      <w:color w:val="000000" w:themeColor="text1"/>
                      <w:sz w:val="14"/>
                      <w:szCs w:val="14"/>
                    </w:rPr>
                    <w:t xml:space="preserve">, </w:t>
                  </w:r>
                  <w:proofErr w:type="spellStart"/>
                  <w:r w:rsidR="00A7068B" w:rsidRPr="002B4E56">
                    <w:rPr>
                      <w:rFonts w:eastAsia="Times New Roman"/>
                      <w:color w:val="000000" w:themeColor="text1"/>
                      <w:sz w:val="14"/>
                      <w:szCs w:val="14"/>
                    </w:rPr>
                    <w:t>b</w:t>
                  </w:r>
                  <w:r w:rsidR="001A7430">
                    <w:rPr>
                      <w:rFonts w:eastAsia="Times New Roman"/>
                      <w:color w:val="000000" w:themeColor="text1"/>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6C7D6" w14:textId="77777777" w:rsidR="00C84527" w:rsidRPr="002B4E56" w:rsidRDefault="00C84527" w:rsidP="00851A55">
                  <w:pPr>
                    <w:jc w:val="center"/>
                    <w:rPr>
                      <w:rFonts w:eastAsia="Times New Roman"/>
                      <w:color w:val="000000" w:themeColor="text1"/>
                      <w:sz w:val="14"/>
                      <w:szCs w:val="14"/>
                    </w:rPr>
                  </w:pPr>
                </w:p>
              </w:tc>
            </w:tr>
          </w:tbl>
          <w:p w14:paraId="01C3744A" w14:textId="69F0CF0C" w:rsidR="00A60A00" w:rsidRPr="002B4E56" w:rsidRDefault="001A7430" w:rsidP="00A7068B">
            <w:pPr>
              <w:spacing w:line="360" w:lineRule="auto"/>
              <w:rPr>
                <w:rFonts w:eastAsia="Times New Roman"/>
                <w:color w:val="000000" w:themeColor="text1"/>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4D" w14:textId="77777777" w:rsidTr="00C84527">
              <w:trPr>
                <w:trHeight w:hRule="exact" w:val="216"/>
                <w:tblCellSpacing w:w="14" w:type="dxa"/>
              </w:trPr>
              <w:tc>
                <w:tcPr>
                  <w:tcW w:w="601" w:type="dxa"/>
                  <w:vAlign w:val="center"/>
                </w:tcPr>
                <w:p w14:paraId="01C3744B" w14:textId="1F3E9561" w:rsidR="00A60A00" w:rsidRPr="002B4E56" w:rsidRDefault="001A7430" w:rsidP="00C84527">
                  <w:pPr>
                    <w:ind w:left="-54"/>
                    <w:jc w:val="center"/>
                    <w:rPr>
                      <w:rFonts w:eastAsia="Times New Roman"/>
                      <w:color w:val="000000"/>
                      <w:sz w:val="14"/>
                      <w:szCs w:val="14"/>
                    </w:rPr>
                  </w:pPr>
                  <w:proofErr w:type="spellStart"/>
                  <w:r>
                    <w:rPr>
                      <w:rFonts w:eastAsia="Times New Roman"/>
                      <w:color w:val="000000"/>
                      <w:sz w:val="14"/>
                      <w:szCs w:val="14"/>
                    </w:rPr>
                    <w:t>Kein</w:t>
                  </w:r>
                  <w:r w:rsidR="00A60A00"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4C" w14:textId="77777777" w:rsidR="00A60A00" w:rsidRPr="002B4E56" w:rsidRDefault="00A60A00" w:rsidP="00C84527">
                  <w:pPr>
                    <w:jc w:val="center"/>
                    <w:rPr>
                      <w:rFonts w:eastAsia="Times New Roman"/>
                      <w:color w:val="000000"/>
                      <w:sz w:val="14"/>
                      <w:szCs w:val="14"/>
                    </w:rPr>
                  </w:pPr>
                </w:p>
              </w:tc>
            </w:tr>
            <w:tr w:rsidR="00A60A00" w:rsidRPr="002B4E56" w14:paraId="01C37450" w14:textId="77777777" w:rsidTr="00C84527">
              <w:trPr>
                <w:trHeight w:hRule="exact" w:val="216"/>
                <w:tblCellSpacing w:w="14" w:type="dxa"/>
              </w:trPr>
              <w:tc>
                <w:tcPr>
                  <w:tcW w:w="601" w:type="dxa"/>
                  <w:vAlign w:val="center"/>
                </w:tcPr>
                <w:p w14:paraId="01C3744E" w14:textId="3ABF2130" w:rsidR="00A60A00" w:rsidRPr="002B4E56" w:rsidRDefault="001A7430" w:rsidP="00C84527">
                  <w:pPr>
                    <w:ind w:left="-54"/>
                    <w:jc w:val="center"/>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4F" w14:textId="77777777" w:rsidR="00A60A00" w:rsidRPr="002B4E56" w:rsidRDefault="00A60A00" w:rsidP="00C84527">
                  <w:pPr>
                    <w:jc w:val="center"/>
                    <w:rPr>
                      <w:rFonts w:eastAsia="Times New Roman"/>
                      <w:color w:val="000000"/>
                      <w:sz w:val="14"/>
                      <w:szCs w:val="14"/>
                    </w:rPr>
                  </w:pPr>
                </w:p>
              </w:tc>
            </w:tr>
          </w:tbl>
          <w:p w14:paraId="01C37451" w14:textId="77777777" w:rsidR="00A60A00" w:rsidRPr="002B4E56" w:rsidRDefault="00A60A00" w:rsidP="00C84527">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54" w14:textId="77777777" w:rsidTr="00C84527">
              <w:trPr>
                <w:trHeight w:hRule="exact" w:val="216"/>
                <w:tblCellSpacing w:w="14" w:type="dxa"/>
              </w:trPr>
              <w:tc>
                <w:tcPr>
                  <w:tcW w:w="601" w:type="dxa"/>
                  <w:vAlign w:val="center"/>
                </w:tcPr>
                <w:p w14:paraId="01C37452" w14:textId="3D8C70B6" w:rsidR="00A60A00" w:rsidRPr="002B4E56" w:rsidRDefault="001A7430" w:rsidP="00247F32">
                  <w:pPr>
                    <w:ind w:left="-54"/>
                    <w:jc w:val="right"/>
                    <w:rPr>
                      <w:rFonts w:eastAsia="Times New Roman"/>
                      <w:color w:val="000000"/>
                      <w:sz w:val="14"/>
                      <w:szCs w:val="14"/>
                    </w:rPr>
                  </w:pPr>
                  <w:proofErr w:type="spellStart"/>
                  <w:r>
                    <w:rPr>
                      <w:rFonts w:eastAsia="Times New Roman"/>
                      <w:color w:val="000000"/>
                      <w:sz w:val="14"/>
                      <w:szCs w:val="14"/>
                    </w:rPr>
                    <w:t>Kein</w:t>
                  </w:r>
                  <w:r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53" w14:textId="77777777" w:rsidR="00A60A00" w:rsidRPr="002B4E56" w:rsidRDefault="00A60A00" w:rsidP="00247F32">
                  <w:pPr>
                    <w:jc w:val="center"/>
                    <w:rPr>
                      <w:rFonts w:eastAsia="Times New Roman"/>
                      <w:color w:val="000000"/>
                      <w:sz w:val="14"/>
                      <w:szCs w:val="14"/>
                    </w:rPr>
                  </w:pPr>
                </w:p>
              </w:tc>
            </w:tr>
            <w:tr w:rsidR="00A60A00" w:rsidRPr="002B4E56" w14:paraId="01C37457" w14:textId="77777777" w:rsidTr="00C84527">
              <w:trPr>
                <w:trHeight w:hRule="exact" w:val="216"/>
                <w:tblCellSpacing w:w="14" w:type="dxa"/>
              </w:trPr>
              <w:tc>
                <w:tcPr>
                  <w:tcW w:w="601" w:type="dxa"/>
                  <w:vAlign w:val="center"/>
                </w:tcPr>
                <w:p w14:paraId="01C37455" w14:textId="5684C5B4" w:rsidR="00A60A00" w:rsidRPr="002B4E56" w:rsidRDefault="001A7430" w:rsidP="00247F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56" w14:textId="77777777" w:rsidR="00A60A00" w:rsidRPr="002B4E56" w:rsidRDefault="00A60A00" w:rsidP="00247F32">
                  <w:pPr>
                    <w:rPr>
                      <w:rFonts w:eastAsia="Times New Roman"/>
                      <w:color w:val="000000"/>
                      <w:sz w:val="14"/>
                      <w:szCs w:val="14"/>
                    </w:rPr>
                  </w:pPr>
                </w:p>
              </w:tc>
            </w:tr>
          </w:tbl>
          <w:p w14:paraId="01C37458" w14:textId="77777777" w:rsidR="00A60A00" w:rsidRPr="002B4E56" w:rsidRDefault="00A60A00" w:rsidP="00247F32">
            <w:pPr>
              <w:spacing w:line="360" w:lineRule="auto"/>
              <w:jc w:val="center"/>
              <w:rPr>
                <w:rFonts w:eastAsia="Times New Roman"/>
                <w:color w:val="000000"/>
                <w:sz w:val="14"/>
                <w:szCs w:val="14"/>
              </w:rPr>
            </w:pPr>
          </w:p>
        </w:tc>
        <w:tc>
          <w:tcPr>
            <w:tcW w:w="3783" w:type="dxa"/>
            <w:vMerge w:val="restart"/>
            <w:tcBorders>
              <w:top w:val="single" w:sz="12" w:space="0" w:color="auto"/>
            </w:tcBorders>
          </w:tcPr>
          <w:p w14:paraId="01C37459" w14:textId="77777777" w:rsidR="00A60A00" w:rsidRPr="00CF2D28" w:rsidRDefault="00A60A00" w:rsidP="00723918">
            <w:pPr>
              <w:spacing w:line="360" w:lineRule="auto"/>
              <w:rPr>
                <w:sz w:val="18"/>
                <w:szCs w:val="20"/>
              </w:rPr>
            </w:pPr>
          </w:p>
        </w:tc>
        <w:tc>
          <w:tcPr>
            <w:tcW w:w="717" w:type="dxa"/>
            <w:vMerge w:val="restart"/>
            <w:tcBorders>
              <w:top w:val="single" w:sz="12" w:space="0" w:color="auto"/>
              <w:right w:val="single" w:sz="12" w:space="0" w:color="000000" w:themeColor="text1"/>
            </w:tcBorders>
          </w:tcPr>
          <w:p w14:paraId="01C3745A" w14:textId="77777777" w:rsidR="00A60A00" w:rsidRPr="00CF2D28" w:rsidRDefault="00A60A00" w:rsidP="00723918">
            <w:pPr>
              <w:spacing w:line="360" w:lineRule="auto"/>
              <w:rPr>
                <w:sz w:val="18"/>
                <w:szCs w:val="20"/>
              </w:rPr>
            </w:pPr>
          </w:p>
        </w:tc>
      </w:tr>
      <w:tr w:rsidR="00C84527" w:rsidRPr="005E4993" w14:paraId="01C37464" w14:textId="77777777" w:rsidTr="00030736">
        <w:trPr>
          <w:trHeight w:val="472"/>
        </w:trPr>
        <w:tc>
          <w:tcPr>
            <w:tcW w:w="1982" w:type="dxa"/>
            <w:tcBorders>
              <w:top w:val="dashed" w:sz="4" w:space="0" w:color="auto"/>
              <w:left w:val="single" w:sz="12" w:space="0" w:color="000000" w:themeColor="text1"/>
              <w:bottom w:val="single" w:sz="12" w:space="0" w:color="auto"/>
            </w:tcBorders>
          </w:tcPr>
          <w:p w14:paraId="01C3745C" w14:textId="77777777" w:rsidR="00A60A00" w:rsidRPr="00CF2D28" w:rsidRDefault="00A60A00" w:rsidP="00723918">
            <w:pPr>
              <w:spacing w:line="360" w:lineRule="auto"/>
              <w:rPr>
                <w:sz w:val="18"/>
                <w:szCs w:val="20"/>
              </w:rPr>
            </w:pPr>
          </w:p>
        </w:tc>
        <w:tc>
          <w:tcPr>
            <w:tcW w:w="2536" w:type="dxa"/>
            <w:vMerge/>
            <w:tcBorders>
              <w:bottom w:val="single" w:sz="12" w:space="0" w:color="auto"/>
            </w:tcBorders>
          </w:tcPr>
          <w:p w14:paraId="01C3745D" w14:textId="77777777" w:rsidR="00A60A00" w:rsidRPr="00CF2D28" w:rsidRDefault="00A60A00" w:rsidP="00723918">
            <w:pPr>
              <w:spacing w:line="360" w:lineRule="auto"/>
              <w:rPr>
                <w:sz w:val="18"/>
                <w:szCs w:val="20"/>
              </w:rPr>
            </w:pPr>
          </w:p>
        </w:tc>
        <w:tc>
          <w:tcPr>
            <w:tcW w:w="863" w:type="dxa"/>
            <w:vMerge/>
            <w:tcBorders>
              <w:bottom w:val="single" w:sz="12" w:space="0" w:color="auto"/>
            </w:tcBorders>
          </w:tcPr>
          <w:p w14:paraId="01C3745E" w14:textId="77777777" w:rsidR="00A60A00" w:rsidRPr="00CF2D28" w:rsidRDefault="00A60A00" w:rsidP="00723918">
            <w:pPr>
              <w:spacing w:before="120" w:line="360" w:lineRule="auto"/>
              <w:jc w:val="right"/>
              <w:rPr>
                <w:rFonts w:eastAsia="Times New Roman"/>
                <w:color w:val="000000"/>
                <w:sz w:val="18"/>
                <w:szCs w:val="20"/>
              </w:rPr>
            </w:pPr>
          </w:p>
        </w:tc>
        <w:tc>
          <w:tcPr>
            <w:tcW w:w="1027" w:type="dxa"/>
            <w:vMerge/>
            <w:tcBorders>
              <w:bottom w:val="single" w:sz="12" w:space="0" w:color="auto"/>
            </w:tcBorders>
            <w:vAlign w:val="center"/>
          </w:tcPr>
          <w:p w14:paraId="01C3745F" w14:textId="77777777" w:rsidR="00A60A00" w:rsidRPr="002B4E56" w:rsidRDefault="00A60A00" w:rsidP="00C84527">
            <w:pPr>
              <w:spacing w:before="120" w:line="360" w:lineRule="auto"/>
              <w:jc w:val="center"/>
              <w:rPr>
                <w:rFonts w:eastAsia="Times New Roman"/>
                <w:color w:val="000000"/>
                <w:sz w:val="14"/>
                <w:szCs w:val="14"/>
              </w:rPr>
            </w:pPr>
          </w:p>
        </w:tc>
        <w:tc>
          <w:tcPr>
            <w:tcW w:w="1170" w:type="dxa"/>
            <w:vMerge/>
            <w:tcBorders>
              <w:bottom w:val="single" w:sz="12" w:space="0" w:color="auto"/>
            </w:tcBorders>
            <w:vAlign w:val="center"/>
          </w:tcPr>
          <w:p w14:paraId="01C37460" w14:textId="77777777" w:rsidR="00A60A00" w:rsidRPr="002B4E56" w:rsidRDefault="00A60A00" w:rsidP="00C84527">
            <w:pPr>
              <w:spacing w:line="360" w:lineRule="auto"/>
              <w:jc w:val="center"/>
              <w:rPr>
                <w:rFonts w:eastAsia="Times New Roman"/>
                <w:color w:val="000000"/>
                <w:sz w:val="14"/>
                <w:szCs w:val="14"/>
              </w:rPr>
            </w:pPr>
          </w:p>
        </w:tc>
        <w:tc>
          <w:tcPr>
            <w:tcW w:w="1080" w:type="dxa"/>
            <w:vMerge/>
            <w:tcBorders>
              <w:bottom w:val="single" w:sz="12" w:space="0" w:color="auto"/>
            </w:tcBorders>
            <w:vAlign w:val="center"/>
          </w:tcPr>
          <w:p w14:paraId="01C37461" w14:textId="77777777" w:rsidR="00A60A00" w:rsidRPr="002B4E56" w:rsidRDefault="00A60A00" w:rsidP="00723918">
            <w:pPr>
              <w:spacing w:line="360" w:lineRule="auto"/>
              <w:jc w:val="right"/>
              <w:rPr>
                <w:rFonts w:eastAsia="Times New Roman"/>
                <w:color w:val="000000"/>
                <w:sz w:val="14"/>
                <w:szCs w:val="14"/>
              </w:rPr>
            </w:pPr>
          </w:p>
        </w:tc>
        <w:tc>
          <w:tcPr>
            <w:tcW w:w="3783" w:type="dxa"/>
            <w:vMerge/>
            <w:tcBorders>
              <w:bottom w:val="single" w:sz="12" w:space="0" w:color="auto"/>
            </w:tcBorders>
          </w:tcPr>
          <w:p w14:paraId="01C37462" w14:textId="77777777" w:rsidR="00A60A00" w:rsidRPr="00CF2D28" w:rsidRDefault="00A60A00" w:rsidP="00723918">
            <w:pPr>
              <w:spacing w:line="360" w:lineRule="auto"/>
              <w:rPr>
                <w:sz w:val="18"/>
                <w:szCs w:val="20"/>
              </w:rPr>
            </w:pPr>
          </w:p>
        </w:tc>
        <w:tc>
          <w:tcPr>
            <w:tcW w:w="717" w:type="dxa"/>
            <w:vMerge/>
            <w:tcBorders>
              <w:bottom w:val="single" w:sz="12" w:space="0" w:color="auto"/>
              <w:right w:val="single" w:sz="12" w:space="0" w:color="000000" w:themeColor="text1"/>
            </w:tcBorders>
          </w:tcPr>
          <w:p w14:paraId="01C37463" w14:textId="77777777" w:rsidR="00A60A00" w:rsidRPr="00CF2D28" w:rsidRDefault="00A60A00" w:rsidP="00723918">
            <w:pPr>
              <w:spacing w:line="360" w:lineRule="auto"/>
              <w:rPr>
                <w:sz w:val="18"/>
                <w:szCs w:val="20"/>
              </w:rPr>
            </w:pPr>
          </w:p>
        </w:tc>
      </w:tr>
      <w:tr w:rsidR="00C84527" w:rsidRPr="005E4993" w14:paraId="01C37482" w14:textId="77777777" w:rsidTr="00030736">
        <w:trPr>
          <w:trHeight w:val="473"/>
        </w:trPr>
        <w:tc>
          <w:tcPr>
            <w:tcW w:w="1982" w:type="dxa"/>
            <w:tcBorders>
              <w:top w:val="single" w:sz="12" w:space="0" w:color="auto"/>
              <w:left w:val="single" w:sz="12" w:space="0" w:color="000000" w:themeColor="text1"/>
              <w:bottom w:val="dashed" w:sz="4" w:space="0" w:color="auto"/>
            </w:tcBorders>
          </w:tcPr>
          <w:p w14:paraId="01C37465" w14:textId="77777777" w:rsidR="00A60A00" w:rsidRPr="00CF2D28" w:rsidRDefault="00A60A00" w:rsidP="00723918">
            <w:pPr>
              <w:spacing w:line="360" w:lineRule="auto"/>
              <w:rPr>
                <w:sz w:val="18"/>
                <w:szCs w:val="20"/>
              </w:rPr>
            </w:pPr>
          </w:p>
        </w:tc>
        <w:tc>
          <w:tcPr>
            <w:tcW w:w="2536" w:type="dxa"/>
            <w:vMerge w:val="restart"/>
            <w:tcBorders>
              <w:top w:val="single" w:sz="12" w:space="0" w:color="auto"/>
            </w:tcBorders>
          </w:tcPr>
          <w:p w14:paraId="01C37466" w14:textId="77777777" w:rsidR="00A60A00" w:rsidRPr="00CF2D28" w:rsidRDefault="00A60A00" w:rsidP="00723918">
            <w:pPr>
              <w:spacing w:line="360" w:lineRule="auto"/>
              <w:rPr>
                <w:sz w:val="18"/>
                <w:szCs w:val="20"/>
              </w:rPr>
            </w:pPr>
          </w:p>
        </w:tc>
        <w:tc>
          <w:tcPr>
            <w:tcW w:w="863" w:type="dxa"/>
            <w:vMerge w:val="restart"/>
            <w:tcBorders>
              <w:top w:val="single" w:sz="12" w:space="0" w:color="auto"/>
            </w:tcBorders>
          </w:tcPr>
          <w:p w14:paraId="01C37467" w14:textId="77777777" w:rsidR="00A60A00" w:rsidRPr="00CF2D28" w:rsidRDefault="00A60A00" w:rsidP="00247F32">
            <w:pPr>
              <w:ind w:left="-54"/>
              <w:jc w:val="right"/>
              <w:rPr>
                <w:rFonts w:eastAsia="Times New Roman"/>
                <w:color w:val="000000"/>
                <w:sz w:val="18"/>
                <w:szCs w:val="20"/>
              </w:rPr>
            </w:pPr>
          </w:p>
        </w:tc>
        <w:tc>
          <w:tcPr>
            <w:tcW w:w="1027" w:type="dxa"/>
            <w:vMerge w:val="restart"/>
            <w:tcBorders>
              <w:top w:val="single" w:sz="12" w:space="0" w:color="auto"/>
            </w:tcBorders>
            <w:vAlign w:val="center"/>
          </w:tcPr>
          <w:tbl>
            <w:tblPr>
              <w:tblStyle w:val="TableGrid"/>
              <w:tblW w:w="84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6A" w14:textId="77777777" w:rsidTr="001A7430">
              <w:trPr>
                <w:trHeight w:hRule="exact" w:val="216"/>
                <w:tblCellSpacing w:w="14" w:type="dxa"/>
              </w:trPr>
              <w:tc>
                <w:tcPr>
                  <w:tcW w:w="601" w:type="dxa"/>
                  <w:vAlign w:val="center"/>
                </w:tcPr>
                <w:p w14:paraId="01C37468" w14:textId="7E64EA3B" w:rsidR="00A60A00" w:rsidRPr="002B4E56" w:rsidRDefault="001A7430" w:rsidP="00C84527">
                  <w:pPr>
                    <w:ind w:left="-54"/>
                    <w:jc w:val="center"/>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69" w14:textId="77777777" w:rsidR="00A60A00" w:rsidRPr="002B4E56" w:rsidRDefault="00A60A00" w:rsidP="00C84527">
                  <w:pPr>
                    <w:jc w:val="center"/>
                    <w:rPr>
                      <w:rFonts w:eastAsia="Times New Roman"/>
                      <w:color w:val="000000"/>
                      <w:sz w:val="14"/>
                      <w:szCs w:val="14"/>
                    </w:rPr>
                  </w:pPr>
                </w:p>
              </w:tc>
            </w:tr>
            <w:tr w:rsidR="00A60A00" w:rsidRPr="002B4E56" w14:paraId="01C3746D" w14:textId="77777777" w:rsidTr="001A7430">
              <w:trPr>
                <w:trHeight w:hRule="exact" w:val="216"/>
                <w:tblCellSpacing w:w="14" w:type="dxa"/>
              </w:trPr>
              <w:tc>
                <w:tcPr>
                  <w:tcW w:w="601" w:type="dxa"/>
                  <w:vAlign w:val="center"/>
                </w:tcPr>
                <w:p w14:paraId="01C3746B" w14:textId="1A11A955" w:rsidR="00A60A00" w:rsidRPr="002B4E56" w:rsidRDefault="001A7430" w:rsidP="00C84527">
                  <w:pPr>
                    <w:ind w:left="-54"/>
                    <w:jc w:val="center"/>
                    <w:rPr>
                      <w:rFonts w:eastAsia="Times New Roman"/>
                      <w:color w:val="000000"/>
                      <w:sz w:val="14"/>
                      <w:szCs w:val="14"/>
                    </w:rPr>
                  </w:pPr>
                  <w:proofErr w:type="spellStart"/>
                  <w:r w:rsidRPr="002B4E56">
                    <w:rPr>
                      <w:rFonts w:eastAsia="Times New Roman"/>
                      <w:color w:val="000000" w:themeColor="text1"/>
                      <w:sz w:val="14"/>
                      <w:szCs w:val="14"/>
                    </w:rPr>
                    <w:t>N</w:t>
                  </w:r>
                  <w:r>
                    <w:rPr>
                      <w:rFonts w:eastAsia="Times New Roman"/>
                      <w:color w:val="000000" w:themeColor="text1"/>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6C" w14:textId="77777777" w:rsidR="00A60A00" w:rsidRPr="002B4E56" w:rsidRDefault="00A60A00" w:rsidP="00C84527">
                  <w:pPr>
                    <w:jc w:val="center"/>
                    <w:rPr>
                      <w:rFonts w:eastAsia="Times New Roman"/>
                      <w:color w:val="000000"/>
                      <w:sz w:val="14"/>
                      <w:szCs w:val="14"/>
                    </w:rPr>
                  </w:pPr>
                </w:p>
              </w:tc>
            </w:tr>
            <w:tr w:rsidR="001A7430" w:rsidRPr="002B4E56" w14:paraId="01C37470" w14:textId="77777777" w:rsidTr="001A7430">
              <w:trPr>
                <w:trHeight w:hRule="exact" w:val="216"/>
                <w:tblCellSpacing w:w="14" w:type="dxa"/>
              </w:trPr>
              <w:tc>
                <w:tcPr>
                  <w:tcW w:w="601" w:type="dxa"/>
                  <w:vAlign w:val="center"/>
                </w:tcPr>
                <w:p w14:paraId="01C3746E" w14:textId="40D15896" w:rsidR="001A7430" w:rsidRPr="002B4E56" w:rsidRDefault="00C4506C" w:rsidP="001A7430">
                  <w:pPr>
                    <w:jc w:val="center"/>
                    <w:rPr>
                      <w:rFonts w:eastAsia="Times New Roman"/>
                      <w:color w:val="000000"/>
                      <w:sz w:val="14"/>
                      <w:szCs w:val="14"/>
                    </w:rPr>
                  </w:pPr>
                  <w:r>
                    <w:rPr>
                      <w:rFonts w:eastAsia="Times New Roman"/>
                      <w:color w:val="000000"/>
                      <w:sz w:val="14"/>
                      <w:szCs w:val="14"/>
                    </w:rPr>
                    <w:t>Ja</w:t>
                  </w:r>
                  <w:r w:rsidR="001A7430" w:rsidRPr="002B4E56">
                    <w:rPr>
                      <w:rFonts w:eastAsia="Times New Roman"/>
                      <w:color w:val="000000" w:themeColor="text1"/>
                      <w:sz w:val="14"/>
                      <w:szCs w:val="14"/>
                    </w:rPr>
                    <w:t xml:space="preserve">, </w:t>
                  </w:r>
                  <w:proofErr w:type="spellStart"/>
                  <w:r w:rsidR="001A7430" w:rsidRPr="002B4E56">
                    <w:rPr>
                      <w:rFonts w:eastAsia="Times New Roman"/>
                      <w:color w:val="000000" w:themeColor="text1"/>
                      <w:sz w:val="14"/>
                      <w:szCs w:val="14"/>
                    </w:rPr>
                    <w:t>b</w:t>
                  </w:r>
                  <w:r w:rsidR="001A7430">
                    <w:rPr>
                      <w:rFonts w:eastAsia="Times New Roman"/>
                      <w:color w:val="000000" w:themeColor="text1"/>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6F" w14:textId="77777777" w:rsidR="001A7430" w:rsidRPr="002B4E56" w:rsidRDefault="001A7430" w:rsidP="001A7430">
                  <w:pPr>
                    <w:jc w:val="center"/>
                    <w:rPr>
                      <w:rFonts w:eastAsia="Times New Roman"/>
                      <w:color w:val="000000"/>
                      <w:sz w:val="14"/>
                      <w:szCs w:val="14"/>
                    </w:rPr>
                  </w:pPr>
                </w:p>
              </w:tc>
            </w:tr>
          </w:tbl>
          <w:p w14:paraId="01C37471" w14:textId="3CA3C8B1" w:rsidR="00A60A00" w:rsidRPr="002B4E56" w:rsidRDefault="001A7430" w:rsidP="00C84527">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74" w14:textId="77777777" w:rsidTr="00C84527">
              <w:trPr>
                <w:trHeight w:hRule="exact" w:val="216"/>
                <w:tblCellSpacing w:w="14" w:type="dxa"/>
              </w:trPr>
              <w:tc>
                <w:tcPr>
                  <w:tcW w:w="601" w:type="dxa"/>
                  <w:vAlign w:val="center"/>
                </w:tcPr>
                <w:p w14:paraId="01C37472" w14:textId="104FA4FD" w:rsidR="00A60A00" w:rsidRPr="002B4E56" w:rsidRDefault="001A7430" w:rsidP="00C84527">
                  <w:pPr>
                    <w:ind w:left="-54"/>
                    <w:jc w:val="center"/>
                    <w:rPr>
                      <w:rFonts w:eastAsia="Times New Roman"/>
                      <w:color w:val="000000"/>
                      <w:sz w:val="14"/>
                      <w:szCs w:val="14"/>
                    </w:rPr>
                  </w:pPr>
                  <w:proofErr w:type="spellStart"/>
                  <w:r>
                    <w:rPr>
                      <w:rFonts w:eastAsia="Times New Roman"/>
                      <w:color w:val="000000"/>
                      <w:sz w:val="14"/>
                      <w:szCs w:val="14"/>
                    </w:rPr>
                    <w:t>Kein</w:t>
                  </w:r>
                  <w:r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73" w14:textId="77777777" w:rsidR="00A60A00" w:rsidRPr="002B4E56" w:rsidRDefault="00A60A00" w:rsidP="00C84527">
                  <w:pPr>
                    <w:jc w:val="center"/>
                    <w:rPr>
                      <w:rFonts w:eastAsia="Times New Roman"/>
                      <w:color w:val="000000"/>
                      <w:sz w:val="14"/>
                      <w:szCs w:val="14"/>
                    </w:rPr>
                  </w:pPr>
                </w:p>
              </w:tc>
            </w:tr>
            <w:tr w:rsidR="00A60A00" w:rsidRPr="002B4E56" w14:paraId="01C37477" w14:textId="77777777" w:rsidTr="00C84527">
              <w:trPr>
                <w:trHeight w:hRule="exact" w:val="216"/>
                <w:tblCellSpacing w:w="14" w:type="dxa"/>
              </w:trPr>
              <w:tc>
                <w:tcPr>
                  <w:tcW w:w="601" w:type="dxa"/>
                  <w:vAlign w:val="center"/>
                </w:tcPr>
                <w:p w14:paraId="01C37475" w14:textId="513FFAF2" w:rsidR="00A60A00" w:rsidRPr="002B4E56" w:rsidRDefault="001A7430" w:rsidP="00C84527">
                  <w:pPr>
                    <w:ind w:left="-54"/>
                    <w:jc w:val="center"/>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76" w14:textId="77777777" w:rsidR="00A60A00" w:rsidRPr="002B4E56" w:rsidRDefault="00A60A00" w:rsidP="00C84527">
                  <w:pPr>
                    <w:jc w:val="center"/>
                    <w:rPr>
                      <w:rFonts w:eastAsia="Times New Roman"/>
                      <w:color w:val="000000"/>
                      <w:sz w:val="14"/>
                      <w:szCs w:val="14"/>
                    </w:rPr>
                  </w:pPr>
                </w:p>
              </w:tc>
            </w:tr>
          </w:tbl>
          <w:p w14:paraId="01C37478" w14:textId="77777777" w:rsidR="00A60A00" w:rsidRPr="002B4E56" w:rsidRDefault="00A60A00" w:rsidP="00C84527">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7B" w14:textId="77777777" w:rsidTr="00C84527">
              <w:trPr>
                <w:trHeight w:hRule="exact" w:val="216"/>
                <w:tblCellSpacing w:w="14" w:type="dxa"/>
              </w:trPr>
              <w:tc>
                <w:tcPr>
                  <w:tcW w:w="601" w:type="dxa"/>
                  <w:vAlign w:val="center"/>
                </w:tcPr>
                <w:p w14:paraId="01C37479" w14:textId="62ED4947" w:rsidR="00A60A00" w:rsidRPr="002B4E56" w:rsidRDefault="001A7430" w:rsidP="00247F32">
                  <w:pPr>
                    <w:ind w:left="-54"/>
                    <w:jc w:val="right"/>
                    <w:rPr>
                      <w:rFonts w:eastAsia="Times New Roman"/>
                      <w:color w:val="000000"/>
                      <w:sz w:val="14"/>
                      <w:szCs w:val="14"/>
                    </w:rPr>
                  </w:pPr>
                  <w:proofErr w:type="spellStart"/>
                  <w:r>
                    <w:rPr>
                      <w:rFonts w:eastAsia="Times New Roman"/>
                      <w:color w:val="000000"/>
                      <w:sz w:val="14"/>
                      <w:szCs w:val="14"/>
                    </w:rPr>
                    <w:t>Kein</w:t>
                  </w:r>
                  <w:r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7A" w14:textId="77777777" w:rsidR="00A60A00" w:rsidRPr="002B4E56" w:rsidRDefault="00A60A00" w:rsidP="00247F32">
                  <w:pPr>
                    <w:jc w:val="center"/>
                    <w:rPr>
                      <w:rFonts w:eastAsia="Times New Roman"/>
                      <w:color w:val="000000"/>
                      <w:sz w:val="14"/>
                      <w:szCs w:val="14"/>
                    </w:rPr>
                  </w:pPr>
                </w:p>
              </w:tc>
            </w:tr>
            <w:tr w:rsidR="00A60A00" w:rsidRPr="002B4E56" w14:paraId="01C3747E" w14:textId="77777777" w:rsidTr="00C84527">
              <w:trPr>
                <w:trHeight w:hRule="exact" w:val="216"/>
                <w:tblCellSpacing w:w="14" w:type="dxa"/>
              </w:trPr>
              <w:tc>
                <w:tcPr>
                  <w:tcW w:w="601" w:type="dxa"/>
                  <w:vAlign w:val="center"/>
                </w:tcPr>
                <w:p w14:paraId="01C3747C" w14:textId="57106B5C" w:rsidR="00A60A00" w:rsidRPr="002B4E56" w:rsidRDefault="001A7430" w:rsidP="00247F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7D" w14:textId="77777777" w:rsidR="00A60A00" w:rsidRPr="002B4E56" w:rsidRDefault="00A60A00" w:rsidP="00247F32">
                  <w:pPr>
                    <w:rPr>
                      <w:rFonts w:eastAsia="Times New Roman"/>
                      <w:color w:val="000000"/>
                      <w:sz w:val="14"/>
                      <w:szCs w:val="14"/>
                    </w:rPr>
                  </w:pPr>
                </w:p>
              </w:tc>
            </w:tr>
          </w:tbl>
          <w:p w14:paraId="01C3747F" w14:textId="77777777" w:rsidR="00A60A00" w:rsidRPr="002B4E56" w:rsidRDefault="00A60A00" w:rsidP="00247F32">
            <w:pPr>
              <w:spacing w:line="360" w:lineRule="auto"/>
              <w:jc w:val="center"/>
              <w:rPr>
                <w:rFonts w:eastAsia="Times New Roman"/>
                <w:color w:val="000000"/>
                <w:sz w:val="14"/>
                <w:szCs w:val="14"/>
              </w:rPr>
            </w:pPr>
          </w:p>
        </w:tc>
        <w:tc>
          <w:tcPr>
            <w:tcW w:w="3783" w:type="dxa"/>
            <w:vMerge w:val="restart"/>
            <w:tcBorders>
              <w:top w:val="single" w:sz="12" w:space="0" w:color="auto"/>
            </w:tcBorders>
          </w:tcPr>
          <w:p w14:paraId="01C37480" w14:textId="77777777" w:rsidR="00A60A00" w:rsidRPr="00CF2D28" w:rsidRDefault="00A60A00" w:rsidP="00723918">
            <w:pPr>
              <w:spacing w:line="360" w:lineRule="auto"/>
              <w:rPr>
                <w:sz w:val="18"/>
                <w:szCs w:val="20"/>
              </w:rPr>
            </w:pPr>
          </w:p>
        </w:tc>
        <w:tc>
          <w:tcPr>
            <w:tcW w:w="717" w:type="dxa"/>
            <w:vMerge w:val="restart"/>
            <w:tcBorders>
              <w:top w:val="single" w:sz="12" w:space="0" w:color="auto"/>
              <w:right w:val="single" w:sz="12" w:space="0" w:color="000000" w:themeColor="text1"/>
            </w:tcBorders>
          </w:tcPr>
          <w:p w14:paraId="01C37481" w14:textId="77777777" w:rsidR="00A60A00" w:rsidRPr="00CF2D28" w:rsidRDefault="00A60A00" w:rsidP="00723918">
            <w:pPr>
              <w:spacing w:line="360" w:lineRule="auto"/>
              <w:rPr>
                <w:sz w:val="18"/>
                <w:szCs w:val="20"/>
              </w:rPr>
            </w:pPr>
          </w:p>
        </w:tc>
      </w:tr>
      <w:tr w:rsidR="00C84527" w:rsidRPr="005E4993" w14:paraId="01C3748B" w14:textId="77777777" w:rsidTr="00030736">
        <w:trPr>
          <w:trHeight w:val="472"/>
        </w:trPr>
        <w:tc>
          <w:tcPr>
            <w:tcW w:w="1982" w:type="dxa"/>
            <w:tcBorders>
              <w:top w:val="dashed" w:sz="4" w:space="0" w:color="auto"/>
              <w:left w:val="single" w:sz="12" w:space="0" w:color="000000" w:themeColor="text1"/>
              <w:bottom w:val="single" w:sz="12" w:space="0" w:color="auto"/>
            </w:tcBorders>
          </w:tcPr>
          <w:p w14:paraId="01C37483" w14:textId="77777777" w:rsidR="00A60A00" w:rsidRPr="00CF2D28" w:rsidRDefault="00A60A00" w:rsidP="00723918">
            <w:pPr>
              <w:spacing w:line="360" w:lineRule="auto"/>
              <w:rPr>
                <w:sz w:val="18"/>
                <w:szCs w:val="20"/>
              </w:rPr>
            </w:pPr>
          </w:p>
        </w:tc>
        <w:tc>
          <w:tcPr>
            <w:tcW w:w="2536" w:type="dxa"/>
            <w:vMerge/>
            <w:tcBorders>
              <w:bottom w:val="single" w:sz="12" w:space="0" w:color="auto"/>
            </w:tcBorders>
          </w:tcPr>
          <w:p w14:paraId="01C37484" w14:textId="77777777" w:rsidR="00A60A00" w:rsidRPr="00CF2D28" w:rsidRDefault="00A60A00" w:rsidP="00723918">
            <w:pPr>
              <w:spacing w:line="360" w:lineRule="auto"/>
              <w:rPr>
                <w:sz w:val="18"/>
                <w:szCs w:val="20"/>
              </w:rPr>
            </w:pPr>
          </w:p>
        </w:tc>
        <w:tc>
          <w:tcPr>
            <w:tcW w:w="863" w:type="dxa"/>
            <w:vMerge/>
            <w:tcBorders>
              <w:bottom w:val="single" w:sz="12" w:space="0" w:color="auto"/>
            </w:tcBorders>
          </w:tcPr>
          <w:p w14:paraId="01C37485" w14:textId="77777777" w:rsidR="00A60A00" w:rsidRPr="00CF2D28" w:rsidRDefault="00A60A00" w:rsidP="00723918">
            <w:pPr>
              <w:spacing w:before="120" w:line="360" w:lineRule="auto"/>
              <w:jc w:val="right"/>
              <w:rPr>
                <w:rFonts w:eastAsia="Times New Roman"/>
                <w:color w:val="000000"/>
                <w:sz w:val="18"/>
                <w:szCs w:val="20"/>
              </w:rPr>
            </w:pPr>
          </w:p>
        </w:tc>
        <w:tc>
          <w:tcPr>
            <w:tcW w:w="1027" w:type="dxa"/>
            <w:vMerge/>
            <w:tcBorders>
              <w:bottom w:val="single" w:sz="12" w:space="0" w:color="auto"/>
            </w:tcBorders>
            <w:vAlign w:val="center"/>
          </w:tcPr>
          <w:p w14:paraId="01C37486" w14:textId="77777777" w:rsidR="00A60A00" w:rsidRPr="002B4E56" w:rsidRDefault="00A60A00" w:rsidP="00C84527">
            <w:pPr>
              <w:spacing w:before="120" w:line="360" w:lineRule="auto"/>
              <w:jc w:val="center"/>
              <w:rPr>
                <w:rFonts w:eastAsia="Times New Roman"/>
                <w:color w:val="000000"/>
                <w:sz w:val="14"/>
                <w:szCs w:val="14"/>
              </w:rPr>
            </w:pPr>
          </w:p>
        </w:tc>
        <w:tc>
          <w:tcPr>
            <w:tcW w:w="1170" w:type="dxa"/>
            <w:vMerge/>
            <w:tcBorders>
              <w:bottom w:val="single" w:sz="12" w:space="0" w:color="auto"/>
            </w:tcBorders>
            <w:vAlign w:val="center"/>
          </w:tcPr>
          <w:p w14:paraId="01C37487" w14:textId="77777777" w:rsidR="00A60A00" w:rsidRPr="002B4E56" w:rsidRDefault="00A60A00" w:rsidP="00C84527">
            <w:pPr>
              <w:spacing w:line="360" w:lineRule="auto"/>
              <w:jc w:val="center"/>
              <w:rPr>
                <w:rFonts w:eastAsia="Times New Roman"/>
                <w:color w:val="000000"/>
                <w:sz w:val="14"/>
                <w:szCs w:val="14"/>
              </w:rPr>
            </w:pPr>
          </w:p>
        </w:tc>
        <w:tc>
          <w:tcPr>
            <w:tcW w:w="1080" w:type="dxa"/>
            <w:vMerge/>
            <w:tcBorders>
              <w:bottom w:val="single" w:sz="12" w:space="0" w:color="auto"/>
            </w:tcBorders>
            <w:vAlign w:val="center"/>
          </w:tcPr>
          <w:p w14:paraId="01C37488" w14:textId="77777777" w:rsidR="00A60A00" w:rsidRPr="002B4E56" w:rsidRDefault="00A60A00" w:rsidP="00723918">
            <w:pPr>
              <w:spacing w:line="360" w:lineRule="auto"/>
              <w:jc w:val="right"/>
              <w:rPr>
                <w:rFonts w:eastAsia="Times New Roman"/>
                <w:color w:val="000000"/>
                <w:sz w:val="14"/>
                <w:szCs w:val="14"/>
              </w:rPr>
            </w:pPr>
          </w:p>
        </w:tc>
        <w:tc>
          <w:tcPr>
            <w:tcW w:w="3783" w:type="dxa"/>
            <w:vMerge/>
            <w:tcBorders>
              <w:bottom w:val="single" w:sz="12" w:space="0" w:color="auto"/>
            </w:tcBorders>
          </w:tcPr>
          <w:p w14:paraId="01C37489" w14:textId="77777777" w:rsidR="00A60A00" w:rsidRPr="00CF2D28" w:rsidRDefault="00A60A00" w:rsidP="00723918">
            <w:pPr>
              <w:spacing w:line="360" w:lineRule="auto"/>
              <w:rPr>
                <w:sz w:val="18"/>
                <w:szCs w:val="20"/>
              </w:rPr>
            </w:pPr>
          </w:p>
        </w:tc>
        <w:tc>
          <w:tcPr>
            <w:tcW w:w="717" w:type="dxa"/>
            <w:vMerge/>
            <w:tcBorders>
              <w:bottom w:val="single" w:sz="12" w:space="0" w:color="auto"/>
              <w:right w:val="single" w:sz="12" w:space="0" w:color="000000" w:themeColor="text1"/>
            </w:tcBorders>
          </w:tcPr>
          <w:p w14:paraId="01C3748A" w14:textId="77777777" w:rsidR="00A60A00" w:rsidRPr="00CF2D28" w:rsidRDefault="00A60A00" w:rsidP="00723918">
            <w:pPr>
              <w:spacing w:line="360" w:lineRule="auto"/>
              <w:rPr>
                <w:sz w:val="18"/>
                <w:szCs w:val="20"/>
              </w:rPr>
            </w:pPr>
          </w:p>
        </w:tc>
      </w:tr>
      <w:tr w:rsidR="00C84527" w:rsidRPr="005E4993" w14:paraId="01C374A9" w14:textId="77777777" w:rsidTr="00030736">
        <w:trPr>
          <w:trHeight w:val="473"/>
        </w:trPr>
        <w:tc>
          <w:tcPr>
            <w:tcW w:w="1982" w:type="dxa"/>
            <w:tcBorders>
              <w:top w:val="single" w:sz="12" w:space="0" w:color="auto"/>
              <w:left w:val="single" w:sz="12" w:space="0" w:color="000000" w:themeColor="text1"/>
              <w:bottom w:val="dashed" w:sz="4" w:space="0" w:color="auto"/>
            </w:tcBorders>
          </w:tcPr>
          <w:p w14:paraId="01C3748C" w14:textId="77777777" w:rsidR="00A60A00" w:rsidRPr="00CF2D28" w:rsidRDefault="00A60A00" w:rsidP="00723918">
            <w:pPr>
              <w:spacing w:line="360" w:lineRule="auto"/>
              <w:rPr>
                <w:sz w:val="18"/>
                <w:szCs w:val="20"/>
              </w:rPr>
            </w:pPr>
          </w:p>
        </w:tc>
        <w:tc>
          <w:tcPr>
            <w:tcW w:w="2536" w:type="dxa"/>
            <w:vMerge w:val="restart"/>
            <w:tcBorders>
              <w:top w:val="single" w:sz="12" w:space="0" w:color="auto"/>
            </w:tcBorders>
          </w:tcPr>
          <w:p w14:paraId="01C3748D" w14:textId="77777777" w:rsidR="00A60A00" w:rsidRPr="00CF2D28" w:rsidRDefault="00A60A00" w:rsidP="00723918">
            <w:pPr>
              <w:spacing w:line="360" w:lineRule="auto"/>
              <w:rPr>
                <w:sz w:val="18"/>
                <w:szCs w:val="20"/>
              </w:rPr>
            </w:pPr>
          </w:p>
        </w:tc>
        <w:tc>
          <w:tcPr>
            <w:tcW w:w="863" w:type="dxa"/>
            <w:vMerge w:val="restart"/>
            <w:tcBorders>
              <w:top w:val="single" w:sz="12" w:space="0" w:color="auto"/>
            </w:tcBorders>
          </w:tcPr>
          <w:p w14:paraId="01C3748E" w14:textId="77777777" w:rsidR="00A60A00" w:rsidRPr="00CF2D28" w:rsidRDefault="00A60A00" w:rsidP="00247F32">
            <w:pPr>
              <w:ind w:left="-54"/>
              <w:jc w:val="right"/>
              <w:rPr>
                <w:rFonts w:eastAsia="Times New Roman"/>
                <w:color w:val="000000"/>
                <w:sz w:val="18"/>
                <w:szCs w:val="20"/>
              </w:rPr>
            </w:pPr>
          </w:p>
        </w:tc>
        <w:tc>
          <w:tcPr>
            <w:tcW w:w="1027" w:type="dxa"/>
            <w:vMerge w:val="restart"/>
            <w:tcBorders>
              <w:top w:val="single" w:sz="12" w:space="0" w:color="auto"/>
            </w:tcBorders>
            <w:vAlign w:val="center"/>
          </w:tcPr>
          <w:tbl>
            <w:tblPr>
              <w:tblStyle w:val="TableGrid"/>
              <w:tblW w:w="84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91" w14:textId="77777777" w:rsidTr="001A7430">
              <w:trPr>
                <w:trHeight w:hRule="exact" w:val="216"/>
                <w:tblCellSpacing w:w="14" w:type="dxa"/>
              </w:trPr>
              <w:tc>
                <w:tcPr>
                  <w:tcW w:w="601" w:type="dxa"/>
                  <w:vAlign w:val="center"/>
                </w:tcPr>
                <w:p w14:paraId="01C3748F" w14:textId="415762C2" w:rsidR="00A60A00" w:rsidRPr="002B4E56" w:rsidRDefault="001A7430" w:rsidP="00C84527">
                  <w:pPr>
                    <w:ind w:left="-54"/>
                    <w:jc w:val="center"/>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90" w14:textId="77777777" w:rsidR="00A60A00" w:rsidRPr="002B4E56" w:rsidRDefault="00A60A00" w:rsidP="00C84527">
                  <w:pPr>
                    <w:jc w:val="center"/>
                    <w:rPr>
                      <w:rFonts w:eastAsia="Times New Roman"/>
                      <w:color w:val="000000"/>
                      <w:sz w:val="14"/>
                      <w:szCs w:val="14"/>
                    </w:rPr>
                  </w:pPr>
                </w:p>
              </w:tc>
            </w:tr>
            <w:tr w:rsidR="00A60A00" w:rsidRPr="002B4E56" w14:paraId="01C37494" w14:textId="77777777" w:rsidTr="001A7430">
              <w:trPr>
                <w:trHeight w:hRule="exact" w:val="216"/>
                <w:tblCellSpacing w:w="14" w:type="dxa"/>
              </w:trPr>
              <w:tc>
                <w:tcPr>
                  <w:tcW w:w="601" w:type="dxa"/>
                  <w:vAlign w:val="center"/>
                </w:tcPr>
                <w:p w14:paraId="01C37492" w14:textId="03112DFE" w:rsidR="00A60A00" w:rsidRPr="002B4E56" w:rsidRDefault="001A7430" w:rsidP="00C84527">
                  <w:pPr>
                    <w:ind w:left="-54"/>
                    <w:jc w:val="center"/>
                    <w:rPr>
                      <w:rFonts w:eastAsia="Times New Roman"/>
                      <w:color w:val="000000"/>
                      <w:sz w:val="14"/>
                      <w:szCs w:val="14"/>
                    </w:rPr>
                  </w:pPr>
                  <w:proofErr w:type="spellStart"/>
                  <w:r w:rsidRPr="002B4E56">
                    <w:rPr>
                      <w:rFonts w:eastAsia="Times New Roman"/>
                      <w:color w:val="000000" w:themeColor="text1"/>
                      <w:sz w:val="14"/>
                      <w:szCs w:val="14"/>
                    </w:rPr>
                    <w:t>N</w:t>
                  </w:r>
                  <w:r>
                    <w:rPr>
                      <w:rFonts w:eastAsia="Times New Roman"/>
                      <w:color w:val="000000" w:themeColor="text1"/>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93" w14:textId="77777777" w:rsidR="00A60A00" w:rsidRPr="002B4E56" w:rsidRDefault="00A60A00" w:rsidP="00C84527">
                  <w:pPr>
                    <w:jc w:val="center"/>
                    <w:rPr>
                      <w:rFonts w:eastAsia="Times New Roman"/>
                      <w:color w:val="000000"/>
                      <w:sz w:val="14"/>
                      <w:szCs w:val="14"/>
                    </w:rPr>
                  </w:pPr>
                </w:p>
              </w:tc>
            </w:tr>
            <w:tr w:rsidR="001A7430" w:rsidRPr="002B4E56" w14:paraId="01C37497" w14:textId="77777777" w:rsidTr="001A7430">
              <w:trPr>
                <w:trHeight w:hRule="exact" w:val="216"/>
                <w:tblCellSpacing w:w="14" w:type="dxa"/>
              </w:trPr>
              <w:tc>
                <w:tcPr>
                  <w:tcW w:w="601" w:type="dxa"/>
                  <w:vAlign w:val="center"/>
                </w:tcPr>
                <w:p w14:paraId="01C37495" w14:textId="0DE8A0F4" w:rsidR="001A7430" w:rsidRPr="002B4E56" w:rsidRDefault="00C4506C" w:rsidP="001A7430">
                  <w:pPr>
                    <w:jc w:val="center"/>
                    <w:rPr>
                      <w:rFonts w:eastAsia="Times New Roman"/>
                      <w:color w:val="000000"/>
                      <w:sz w:val="14"/>
                      <w:szCs w:val="14"/>
                    </w:rPr>
                  </w:pPr>
                  <w:r>
                    <w:rPr>
                      <w:rFonts w:eastAsia="Times New Roman"/>
                      <w:color w:val="000000"/>
                      <w:sz w:val="14"/>
                      <w:szCs w:val="14"/>
                    </w:rPr>
                    <w:t>Ja</w:t>
                  </w:r>
                  <w:r w:rsidR="001A7430" w:rsidRPr="002B4E56">
                    <w:rPr>
                      <w:rFonts w:eastAsia="Times New Roman"/>
                      <w:color w:val="000000" w:themeColor="text1"/>
                      <w:sz w:val="14"/>
                      <w:szCs w:val="14"/>
                    </w:rPr>
                    <w:t xml:space="preserve">, </w:t>
                  </w:r>
                  <w:proofErr w:type="spellStart"/>
                  <w:r w:rsidR="001A7430" w:rsidRPr="002B4E56">
                    <w:rPr>
                      <w:rFonts w:eastAsia="Times New Roman"/>
                      <w:color w:val="000000" w:themeColor="text1"/>
                      <w:sz w:val="14"/>
                      <w:szCs w:val="14"/>
                    </w:rPr>
                    <w:t>b</w:t>
                  </w:r>
                  <w:r w:rsidR="001A7430">
                    <w:rPr>
                      <w:rFonts w:eastAsia="Times New Roman"/>
                      <w:color w:val="000000" w:themeColor="text1"/>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96" w14:textId="77777777" w:rsidR="001A7430" w:rsidRPr="002B4E56" w:rsidRDefault="001A7430" w:rsidP="001A7430">
                  <w:pPr>
                    <w:jc w:val="center"/>
                    <w:rPr>
                      <w:rFonts w:eastAsia="Times New Roman"/>
                      <w:color w:val="000000"/>
                      <w:sz w:val="14"/>
                      <w:szCs w:val="14"/>
                    </w:rPr>
                  </w:pPr>
                </w:p>
              </w:tc>
            </w:tr>
          </w:tbl>
          <w:p w14:paraId="01C37498" w14:textId="5631DE68" w:rsidR="00A60A00" w:rsidRPr="002B4E56" w:rsidRDefault="001A7430" w:rsidP="00C84527">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9B" w14:textId="77777777" w:rsidTr="00C84527">
              <w:trPr>
                <w:trHeight w:hRule="exact" w:val="216"/>
                <w:tblCellSpacing w:w="14" w:type="dxa"/>
              </w:trPr>
              <w:tc>
                <w:tcPr>
                  <w:tcW w:w="601" w:type="dxa"/>
                  <w:vAlign w:val="center"/>
                </w:tcPr>
                <w:p w14:paraId="01C37499" w14:textId="501EB982" w:rsidR="00A60A00" w:rsidRPr="002B4E56" w:rsidRDefault="001A7430" w:rsidP="00C84527">
                  <w:pPr>
                    <w:ind w:left="-54"/>
                    <w:jc w:val="center"/>
                    <w:rPr>
                      <w:rFonts w:eastAsia="Times New Roman"/>
                      <w:color w:val="000000"/>
                      <w:sz w:val="14"/>
                      <w:szCs w:val="14"/>
                    </w:rPr>
                  </w:pPr>
                  <w:proofErr w:type="spellStart"/>
                  <w:r>
                    <w:rPr>
                      <w:rFonts w:eastAsia="Times New Roman"/>
                      <w:color w:val="000000"/>
                      <w:sz w:val="14"/>
                      <w:szCs w:val="14"/>
                    </w:rPr>
                    <w:t>Kein</w:t>
                  </w:r>
                  <w:r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9A" w14:textId="77777777" w:rsidR="00A60A00" w:rsidRPr="002B4E56" w:rsidRDefault="00A60A00" w:rsidP="00C84527">
                  <w:pPr>
                    <w:jc w:val="center"/>
                    <w:rPr>
                      <w:rFonts w:eastAsia="Times New Roman"/>
                      <w:color w:val="000000"/>
                      <w:sz w:val="14"/>
                      <w:szCs w:val="14"/>
                    </w:rPr>
                  </w:pPr>
                </w:p>
              </w:tc>
            </w:tr>
            <w:tr w:rsidR="00A60A00" w:rsidRPr="002B4E56" w14:paraId="01C3749E" w14:textId="77777777" w:rsidTr="00C84527">
              <w:trPr>
                <w:trHeight w:hRule="exact" w:val="216"/>
                <w:tblCellSpacing w:w="14" w:type="dxa"/>
              </w:trPr>
              <w:tc>
                <w:tcPr>
                  <w:tcW w:w="601" w:type="dxa"/>
                  <w:vAlign w:val="center"/>
                </w:tcPr>
                <w:p w14:paraId="01C3749C" w14:textId="1A1F4EAF" w:rsidR="00A60A00" w:rsidRPr="002B4E56" w:rsidRDefault="001A7430" w:rsidP="00C84527">
                  <w:pPr>
                    <w:ind w:left="-54"/>
                    <w:jc w:val="center"/>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9D" w14:textId="77777777" w:rsidR="00A60A00" w:rsidRPr="002B4E56" w:rsidRDefault="00A60A00" w:rsidP="00C84527">
                  <w:pPr>
                    <w:jc w:val="center"/>
                    <w:rPr>
                      <w:rFonts w:eastAsia="Times New Roman"/>
                      <w:color w:val="000000"/>
                      <w:sz w:val="14"/>
                      <w:szCs w:val="14"/>
                    </w:rPr>
                  </w:pPr>
                </w:p>
              </w:tc>
            </w:tr>
          </w:tbl>
          <w:p w14:paraId="01C3749F" w14:textId="77777777" w:rsidR="00A60A00" w:rsidRPr="002B4E56" w:rsidRDefault="00A60A00" w:rsidP="00C84527">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A2" w14:textId="77777777" w:rsidTr="00C84527">
              <w:trPr>
                <w:trHeight w:hRule="exact" w:val="216"/>
                <w:tblCellSpacing w:w="14" w:type="dxa"/>
              </w:trPr>
              <w:tc>
                <w:tcPr>
                  <w:tcW w:w="601" w:type="dxa"/>
                  <w:vAlign w:val="center"/>
                </w:tcPr>
                <w:p w14:paraId="01C374A0" w14:textId="7597609E" w:rsidR="00A60A00" w:rsidRPr="002B4E56" w:rsidRDefault="001A7430" w:rsidP="00247F32">
                  <w:pPr>
                    <w:ind w:left="-54"/>
                    <w:jc w:val="right"/>
                    <w:rPr>
                      <w:rFonts w:eastAsia="Times New Roman"/>
                      <w:color w:val="000000"/>
                      <w:sz w:val="14"/>
                      <w:szCs w:val="14"/>
                    </w:rPr>
                  </w:pPr>
                  <w:proofErr w:type="spellStart"/>
                  <w:r>
                    <w:rPr>
                      <w:rFonts w:eastAsia="Times New Roman"/>
                      <w:color w:val="000000"/>
                      <w:sz w:val="14"/>
                      <w:szCs w:val="14"/>
                    </w:rPr>
                    <w:t>Kein</w:t>
                  </w:r>
                  <w:r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A1" w14:textId="77777777" w:rsidR="00A60A00" w:rsidRPr="002B4E56" w:rsidRDefault="00A60A00" w:rsidP="00247F32">
                  <w:pPr>
                    <w:jc w:val="center"/>
                    <w:rPr>
                      <w:rFonts w:eastAsia="Times New Roman"/>
                      <w:color w:val="000000"/>
                      <w:sz w:val="14"/>
                      <w:szCs w:val="14"/>
                    </w:rPr>
                  </w:pPr>
                </w:p>
              </w:tc>
            </w:tr>
            <w:tr w:rsidR="00A60A00" w:rsidRPr="002B4E56" w14:paraId="01C374A5" w14:textId="77777777" w:rsidTr="00C84527">
              <w:trPr>
                <w:trHeight w:hRule="exact" w:val="216"/>
                <w:tblCellSpacing w:w="14" w:type="dxa"/>
              </w:trPr>
              <w:tc>
                <w:tcPr>
                  <w:tcW w:w="601" w:type="dxa"/>
                  <w:vAlign w:val="center"/>
                </w:tcPr>
                <w:p w14:paraId="01C374A3" w14:textId="3C1341F9" w:rsidR="00A60A00" w:rsidRPr="002B4E56" w:rsidRDefault="001A7430" w:rsidP="00247F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A4" w14:textId="77777777" w:rsidR="00A60A00" w:rsidRPr="002B4E56" w:rsidRDefault="00A60A00" w:rsidP="00247F32">
                  <w:pPr>
                    <w:rPr>
                      <w:rFonts w:eastAsia="Times New Roman"/>
                      <w:color w:val="000000"/>
                      <w:sz w:val="14"/>
                      <w:szCs w:val="14"/>
                    </w:rPr>
                  </w:pPr>
                </w:p>
              </w:tc>
            </w:tr>
          </w:tbl>
          <w:p w14:paraId="01C374A6" w14:textId="77777777" w:rsidR="00A60A00" w:rsidRPr="002B4E56" w:rsidRDefault="00A60A00" w:rsidP="00247F32">
            <w:pPr>
              <w:spacing w:line="360" w:lineRule="auto"/>
              <w:jc w:val="center"/>
              <w:rPr>
                <w:rFonts w:eastAsia="Times New Roman"/>
                <w:color w:val="000000"/>
                <w:sz w:val="14"/>
                <w:szCs w:val="14"/>
              </w:rPr>
            </w:pPr>
          </w:p>
        </w:tc>
        <w:tc>
          <w:tcPr>
            <w:tcW w:w="3783" w:type="dxa"/>
            <w:vMerge w:val="restart"/>
            <w:tcBorders>
              <w:top w:val="single" w:sz="12" w:space="0" w:color="auto"/>
            </w:tcBorders>
          </w:tcPr>
          <w:p w14:paraId="01C374A7" w14:textId="77777777" w:rsidR="00A60A00" w:rsidRPr="00CF2D28" w:rsidRDefault="00A60A00" w:rsidP="00723918">
            <w:pPr>
              <w:spacing w:line="360" w:lineRule="auto"/>
              <w:rPr>
                <w:sz w:val="18"/>
                <w:szCs w:val="20"/>
              </w:rPr>
            </w:pPr>
          </w:p>
        </w:tc>
        <w:tc>
          <w:tcPr>
            <w:tcW w:w="717" w:type="dxa"/>
            <w:vMerge w:val="restart"/>
            <w:tcBorders>
              <w:top w:val="single" w:sz="12" w:space="0" w:color="auto"/>
              <w:right w:val="single" w:sz="12" w:space="0" w:color="000000" w:themeColor="text1"/>
            </w:tcBorders>
          </w:tcPr>
          <w:p w14:paraId="01C374A8" w14:textId="77777777" w:rsidR="00A60A00" w:rsidRPr="00CF2D28" w:rsidRDefault="00A60A00" w:rsidP="00723918">
            <w:pPr>
              <w:spacing w:line="360" w:lineRule="auto"/>
              <w:rPr>
                <w:sz w:val="18"/>
                <w:szCs w:val="20"/>
              </w:rPr>
            </w:pPr>
          </w:p>
        </w:tc>
      </w:tr>
      <w:tr w:rsidR="00C84527" w:rsidRPr="005E4993" w14:paraId="01C374B2" w14:textId="77777777" w:rsidTr="00030736">
        <w:trPr>
          <w:trHeight w:val="472"/>
        </w:trPr>
        <w:tc>
          <w:tcPr>
            <w:tcW w:w="1982" w:type="dxa"/>
            <w:tcBorders>
              <w:top w:val="dashed" w:sz="4" w:space="0" w:color="auto"/>
              <w:left w:val="single" w:sz="12" w:space="0" w:color="000000" w:themeColor="text1"/>
              <w:bottom w:val="single" w:sz="12" w:space="0" w:color="auto"/>
            </w:tcBorders>
          </w:tcPr>
          <w:p w14:paraId="01C374AA" w14:textId="77777777" w:rsidR="00A60A00" w:rsidRPr="00CF2D28" w:rsidRDefault="00A60A00" w:rsidP="00723918">
            <w:pPr>
              <w:spacing w:line="360" w:lineRule="auto"/>
              <w:rPr>
                <w:sz w:val="18"/>
                <w:szCs w:val="20"/>
              </w:rPr>
            </w:pPr>
          </w:p>
        </w:tc>
        <w:tc>
          <w:tcPr>
            <w:tcW w:w="2536" w:type="dxa"/>
            <w:vMerge/>
            <w:tcBorders>
              <w:bottom w:val="single" w:sz="12" w:space="0" w:color="auto"/>
            </w:tcBorders>
          </w:tcPr>
          <w:p w14:paraId="01C374AB" w14:textId="77777777" w:rsidR="00A60A00" w:rsidRPr="00CF2D28" w:rsidRDefault="00A60A00" w:rsidP="00723918">
            <w:pPr>
              <w:spacing w:line="360" w:lineRule="auto"/>
              <w:rPr>
                <w:sz w:val="18"/>
                <w:szCs w:val="20"/>
              </w:rPr>
            </w:pPr>
          </w:p>
        </w:tc>
        <w:tc>
          <w:tcPr>
            <w:tcW w:w="863" w:type="dxa"/>
            <w:vMerge/>
            <w:tcBorders>
              <w:bottom w:val="single" w:sz="12" w:space="0" w:color="auto"/>
            </w:tcBorders>
          </w:tcPr>
          <w:p w14:paraId="01C374AC" w14:textId="77777777" w:rsidR="00A60A00" w:rsidRPr="00CF2D28" w:rsidRDefault="00A60A00" w:rsidP="00723918">
            <w:pPr>
              <w:spacing w:before="120" w:line="360" w:lineRule="auto"/>
              <w:jc w:val="right"/>
              <w:rPr>
                <w:rFonts w:eastAsia="Times New Roman"/>
                <w:color w:val="000000"/>
                <w:sz w:val="18"/>
                <w:szCs w:val="20"/>
              </w:rPr>
            </w:pPr>
          </w:p>
        </w:tc>
        <w:tc>
          <w:tcPr>
            <w:tcW w:w="1027" w:type="dxa"/>
            <w:vMerge/>
            <w:tcBorders>
              <w:bottom w:val="single" w:sz="12" w:space="0" w:color="auto"/>
            </w:tcBorders>
            <w:vAlign w:val="center"/>
          </w:tcPr>
          <w:p w14:paraId="01C374AD" w14:textId="77777777" w:rsidR="00A60A00" w:rsidRPr="002B4E56" w:rsidRDefault="00A60A00" w:rsidP="00C84527">
            <w:pPr>
              <w:spacing w:before="120" w:line="360" w:lineRule="auto"/>
              <w:jc w:val="center"/>
              <w:rPr>
                <w:rFonts w:eastAsia="Times New Roman"/>
                <w:color w:val="000000"/>
                <w:sz w:val="14"/>
                <w:szCs w:val="14"/>
              </w:rPr>
            </w:pPr>
          </w:p>
        </w:tc>
        <w:tc>
          <w:tcPr>
            <w:tcW w:w="1170" w:type="dxa"/>
            <w:vMerge/>
            <w:tcBorders>
              <w:bottom w:val="single" w:sz="12" w:space="0" w:color="auto"/>
            </w:tcBorders>
            <w:vAlign w:val="center"/>
          </w:tcPr>
          <w:p w14:paraId="01C374AE" w14:textId="77777777" w:rsidR="00A60A00" w:rsidRPr="002B4E56" w:rsidRDefault="00A60A00" w:rsidP="00C84527">
            <w:pPr>
              <w:spacing w:line="360" w:lineRule="auto"/>
              <w:jc w:val="center"/>
              <w:rPr>
                <w:rFonts w:eastAsia="Times New Roman"/>
                <w:color w:val="000000"/>
                <w:sz w:val="14"/>
                <w:szCs w:val="14"/>
              </w:rPr>
            </w:pPr>
          </w:p>
        </w:tc>
        <w:tc>
          <w:tcPr>
            <w:tcW w:w="1080" w:type="dxa"/>
            <w:vMerge/>
            <w:tcBorders>
              <w:bottom w:val="single" w:sz="12" w:space="0" w:color="auto"/>
            </w:tcBorders>
            <w:vAlign w:val="center"/>
          </w:tcPr>
          <w:p w14:paraId="01C374AF" w14:textId="77777777" w:rsidR="00A60A00" w:rsidRPr="002B4E56" w:rsidRDefault="00A60A00" w:rsidP="00723918">
            <w:pPr>
              <w:spacing w:line="360" w:lineRule="auto"/>
              <w:jc w:val="right"/>
              <w:rPr>
                <w:rFonts w:eastAsia="Times New Roman"/>
                <w:color w:val="000000"/>
                <w:sz w:val="14"/>
                <w:szCs w:val="14"/>
              </w:rPr>
            </w:pPr>
          </w:p>
        </w:tc>
        <w:tc>
          <w:tcPr>
            <w:tcW w:w="3783" w:type="dxa"/>
            <w:vMerge/>
            <w:tcBorders>
              <w:bottom w:val="single" w:sz="12" w:space="0" w:color="auto"/>
            </w:tcBorders>
          </w:tcPr>
          <w:p w14:paraId="01C374B0" w14:textId="77777777" w:rsidR="00A60A00" w:rsidRPr="00CF2D28" w:rsidRDefault="00A60A00" w:rsidP="00723918">
            <w:pPr>
              <w:spacing w:line="360" w:lineRule="auto"/>
              <w:rPr>
                <w:sz w:val="18"/>
                <w:szCs w:val="20"/>
              </w:rPr>
            </w:pPr>
          </w:p>
        </w:tc>
        <w:tc>
          <w:tcPr>
            <w:tcW w:w="717" w:type="dxa"/>
            <w:vMerge/>
            <w:tcBorders>
              <w:bottom w:val="single" w:sz="12" w:space="0" w:color="auto"/>
              <w:right w:val="single" w:sz="12" w:space="0" w:color="000000" w:themeColor="text1"/>
            </w:tcBorders>
          </w:tcPr>
          <w:p w14:paraId="01C374B1" w14:textId="77777777" w:rsidR="00A60A00" w:rsidRPr="00CF2D28" w:rsidRDefault="00A60A00" w:rsidP="00723918">
            <w:pPr>
              <w:spacing w:line="360" w:lineRule="auto"/>
              <w:rPr>
                <w:sz w:val="18"/>
                <w:szCs w:val="20"/>
              </w:rPr>
            </w:pPr>
          </w:p>
        </w:tc>
      </w:tr>
      <w:tr w:rsidR="00C84527" w:rsidRPr="005E4993" w14:paraId="01C374D0" w14:textId="77777777" w:rsidTr="00030736">
        <w:trPr>
          <w:trHeight w:val="473"/>
        </w:trPr>
        <w:tc>
          <w:tcPr>
            <w:tcW w:w="1982" w:type="dxa"/>
            <w:tcBorders>
              <w:top w:val="single" w:sz="12" w:space="0" w:color="auto"/>
              <w:left w:val="single" w:sz="12" w:space="0" w:color="000000" w:themeColor="text1"/>
              <w:bottom w:val="dashed" w:sz="4" w:space="0" w:color="auto"/>
            </w:tcBorders>
          </w:tcPr>
          <w:p w14:paraId="01C374B3" w14:textId="77777777" w:rsidR="00A60A00" w:rsidRPr="00CF2D28" w:rsidRDefault="00A60A00" w:rsidP="00723918">
            <w:pPr>
              <w:spacing w:line="360" w:lineRule="auto"/>
              <w:rPr>
                <w:sz w:val="18"/>
                <w:szCs w:val="20"/>
              </w:rPr>
            </w:pPr>
          </w:p>
        </w:tc>
        <w:tc>
          <w:tcPr>
            <w:tcW w:w="2536" w:type="dxa"/>
            <w:vMerge w:val="restart"/>
            <w:tcBorders>
              <w:top w:val="single" w:sz="12" w:space="0" w:color="auto"/>
            </w:tcBorders>
          </w:tcPr>
          <w:p w14:paraId="01C374B4" w14:textId="77777777" w:rsidR="00A60A00" w:rsidRPr="00CF2D28" w:rsidRDefault="00A60A00" w:rsidP="00723918">
            <w:pPr>
              <w:spacing w:line="360" w:lineRule="auto"/>
              <w:rPr>
                <w:sz w:val="18"/>
                <w:szCs w:val="20"/>
              </w:rPr>
            </w:pPr>
          </w:p>
        </w:tc>
        <w:tc>
          <w:tcPr>
            <w:tcW w:w="863" w:type="dxa"/>
            <w:vMerge w:val="restart"/>
            <w:tcBorders>
              <w:top w:val="single" w:sz="12" w:space="0" w:color="auto"/>
            </w:tcBorders>
          </w:tcPr>
          <w:p w14:paraId="01C374B5" w14:textId="77777777" w:rsidR="00A60A00" w:rsidRPr="00CF2D28" w:rsidRDefault="00A60A00" w:rsidP="00247F32">
            <w:pPr>
              <w:ind w:left="-54"/>
              <w:jc w:val="right"/>
              <w:rPr>
                <w:rFonts w:eastAsia="Times New Roman"/>
                <w:color w:val="000000"/>
                <w:sz w:val="18"/>
                <w:szCs w:val="20"/>
              </w:rPr>
            </w:pPr>
          </w:p>
        </w:tc>
        <w:tc>
          <w:tcPr>
            <w:tcW w:w="1027" w:type="dxa"/>
            <w:vMerge w:val="restart"/>
            <w:tcBorders>
              <w:top w:val="single" w:sz="12" w:space="0" w:color="auto"/>
            </w:tcBorders>
            <w:vAlign w:val="center"/>
          </w:tcPr>
          <w:tbl>
            <w:tblPr>
              <w:tblStyle w:val="TableGrid"/>
              <w:tblW w:w="84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B8" w14:textId="77777777" w:rsidTr="001A7430">
              <w:trPr>
                <w:trHeight w:hRule="exact" w:val="216"/>
                <w:tblCellSpacing w:w="14" w:type="dxa"/>
              </w:trPr>
              <w:tc>
                <w:tcPr>
                  <w:tcW w:w="601" w:type="dxa"/>
                  <w:vAlign w:val="center"/>
                </w:tcPr>
                <w:p w14:paraId="01C374B6" w14:textId="1B922E5D" w:rsidR="00A60A00" w:rsidRPr="002B4E56" w:rsidRDefault="001A7430" w:rsidP="00C84527">
                  <w:pPr>
                    <w:ind w:left="-54"/>
                    <w:jc w:val="center"/>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B7" w14:textId="77777777" w:rsidR="00A60A00" w:rsidRPr="002B4E56" w:rsidRDefault="00A60A00" w:rsidP="00C84527">
                  <w:pPr>
                    <w:jc w:val="center"/>
                    <w:rPr>
                      <w:rFonts w:eastAsia="Times New Roman"/>
                      <w:color w:val="000000"/>
                      <w:sz w:val="14"/>
                      <w:szCs w:val="14"/>
                    </w:rPr>
                  </w:pPr>
                </w:p>
              </w:tc>
            </w:tr>
            <w:tr w:rsidR="00A60A00" w:rsidRPr="002B4E56" w14:paraId="01C374BB" w14:textId="77777777" w:rsidTr="001A7430">
              <w:trPr>
                <w:trHeight w:hRule="exact" w:val="216"/>
                <w:tblCellSpacing w:w="14" w:type="dxa"/>
              </w:trPr>
              <w:tc>
                <w:tcPr>
                  <w:tcW w:w="601" w:type="dxa"/>
                  <w:vAlign w:val="center"/>
                </w:tcPr>
                <w:p w14:paraId="01C374B9" w14:textId="480A4972" w:rsidR="00A60A00" w:rsidRPr="002B4E56" w:rsidRDefault="001A7430" w:rsidP="00C84527">
                  <w:pPr>
                    <w:ind w:left="-54"/>
                    <w:jc w:val="center"/>
                    <w:rPr>
                      <w:rFonts w:eastAsia="Times New Roman"/>
                      <w:color w:val="000000"/>
                      <w:sz w:val="14"/>
                      <w:szCs w:val="14"/>
                    </w:rPr>
                  </w:pPr>
                  <w:proofErr w:type="spellStart"/>
                  <w:r w:rsidRPr="002B4E56">
                    <w:rPr>
                      <w:rFonts w:eastAsia="Times New Roman"/>
                      <w:color w:val="000000" w:themeColor="text1"/>
                      <w:sz w:val="14"/>
                      <w:szCs w:val="14"/>
                    </w:rPr>
                    <w:t>N</w:t>
                  </w:r>
                  <w:r>
                    <w:rPr>
                      <w:rFonts w:eastAsia="Times New Roman"/>
                      <w:color w:val="000000" w:themeColor="text1"/>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BA" w14:textId="77777777" w:rsidR="00A60A00" w:rsidRPr="002B4E56" w:rsidRDefault="00A60A00" w:rsidP="00C84527">
                  <w:pPr>
                    <w:jc w:val="center"/>
                    <w:rPr>
                      <w:rFonts w:eastAsia="Times New Roman"/>
                      <w:color w:val="000000"/>
                      <w:sz w:val="14"/>
                      <w:szCs w:val="14"/>
                    </w:rPr>
                  </w:pPr>
                </w:p>
              </w:tc>
            </w:tr>
            <w:tr w:rsidR="001A7430" w:rsidRPr="002B4E56" w14:paraId="01C374BE" w14:textId="77777777" w:rsidTr="001A7430">
              <w:trPr>
                <w:trHeight w:hRule="exact" w:val="216"/>
                <w:tblCellSpacing w:w="14" w:type="dxa"/>
              </w:trPr>
              <w:tc>
                <w:tcPr>
                  <w:tcW w:w="601" w:type="dxa"/>
                  <w:vAlign w:val="center"/>
                </w:tcPr>
                <w:p w14:paraId="01C374BC" w14:textId="55579D21" w:rsidR="001A7430" w:rsidRPr="002B4E56" w:rsidRDefault="00C4506C" w:rsidP="001A7430">
                  <w:pPr>
                    <w:jc w:val="center"/>
                    <w:rPr>
                      <w:rFonts w:eastAsia="Times New Roman"/>
                      <w:color w:val="000000"/>
                      <w:sz w:val="14"/>
                      <w:szCs w:val="14"/>
                    </w:rPr>
                  </w:pPr>
                  <w:r>
                    <w:rPr>
                      <w:rFonts w:eastAsia="Times New Roman"/>
                      <w:color w:val="000000"/>
                      <w:sz w:val="14"/>
                      <w:szCs w:val="14"/>
                    </w:rPr>
                    <w:t>Ja</w:t>
                  </w:r>
                  <w:r w:rsidR="001A7430" w:rsidRPr="002B4E56">
                    <w:rPr>
                      <w:rFonts w:eastAsia="Times New Roman"/>
                      <w:color w:val="000000" w:themeColor="text1"/>
                      <w:sz w:val="14"/>
                      <w:szCs w:val="14"/>
                    </w:rPr>
                    <w:t xml:space="preserve">, </w:t>
                  </w:r>
                  <w:proofErr w:type="spellStart"/>
                  <w:r w:rsidR="001A7430" w:rsidRPr="002B4E56">
                    <w:rPr>
                      <w:rFonts w:eastAsia="Times New Roman"/>
                      <w:color w:val="000000" w:themeColor="text1"/>
                      <w:sz w:val="14"/>
                      <w:szCs w:val="14"/>
                    </w:rPr>
                    <w:t>b</w:t>
                  </w:r>
                  <w:r w:rsidR="001A7430">
                    <w:rPr>
                      <w:rFonts w:eastAsia="Times New Roman"/>
                      <w:color w:val="000000" w:themeColor="text1"/>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BD" w14:textId="77777777" w:rsidR="001A7430" w:rsidRPr="002B4E56" w:rsidRDefault="001A7430" w:rsidP="001A7430">
                  <w:pPr>
                    <w:jc w:val="center"/>
                    <w:rPr>
                      <w:rFonts w:eastAsia="Times New Roman"/>
                      <w:color w:val="000000"/>
                      <w:sz w:val="14"/>
                      <w:szCs w:val="14"/>
                    </w:rPr>
                  </w:pPr>
                </w:p>
              </w:tc>
            </w:tr>
          </w:tbl>
          <w:p w14:paraId="01C374BF" w14:textId="559D3CAC" w:rsidR="00A60A00" w:rsidRPr="002B4E56" w:rsidRDefault="001A7430" w:rsidP="00C84527">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C2" w14:textId="77777777" w:rsidTr="00C84527">
              <w:trPr>
                <w:trHeight w:hRule="exact" w:val="216"/>
                <w:tblCellSpacing w:w="14" w:type="dxa"/>
              </w:trPr>
              <w:tc>
                <w:tcPr>
                  <w:tcW w:w="601" w:type="dxa"/>
                  <w:vAlign w:val="center"/>
                </w:tcPr>
                <w:p w14:paraId="01C374C0" w14:textId="11135743" w:rsidR="00A60A00" w:rsidRPr="002B4E56" w:rsidRDefault="001A7430" w:rsidP="00C84527">
                  <w:pPr>
                    <w:ind w:left="-54"/>
                    <w:jc w:val="center"/>
                    <w:rPr>
                      <w:rFonts w:eastAsia="Times New Roman"/>
                      <w:color w:val="000000"/>
                      <w:sz w:val="14"/>
                      <w:szCs w:val="14"/>
                    </w:rPr>
                  </w:pPr>
                  <w:proofErr w:type="spellStart"/>
                  <w:r>
                    <w:rPr>
                      <w:rFonts w:eastAsia="Times New Roman"/>
                      <w:color w:val="000000"/>
                      <w:sz w:val="14"/>
                      <w:szCs w:val="14"/>
                    </w:rPr>
                    <w:t>Kein</w:t>
                  </w:r>
                  <w:r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C1" w14:textId="77777777" w:rsidR="00A60A00" w:rsidRPr="002B4E56" w:rsidRDefault="00A60A00" w:rsidP="00C84527">
                  <w:pPr>
                    <w:jc w:val="center"/>
                    <w:rPr>
                      <w:rFonts w:eastAsia="Times New Roman"/>
                      <w:color w:val="000000"/>
                      <w:sz w:val="14"/>
                      <w:szCs w:val="14"/>
                    </w:rPr>
                  </w:pPr>
                </w:p>
              </w:tc>
            </w:tr>
            <w:tr w:rsidR="00A60A00" w:rsidRPr="002B4E56" w14:paraId="01C374C5" w14:textId="77777777" w:rsidTr="00C84527">
              <w:trPr>
                <w:trHeight w:hRule="exact" w:val="216"/>
                <w:tblCellSpacing w:w="14" w:type="dxa"/>
              </w:trPr>
              <w:tc>
                <w:tcPr>
                  <w:tcW w:w="601" w:type="dxa"/>
                  <w:vAlign w:val="center"/>
                </w:tcPr>
                <w:p w14:paraId="01C374C3" w14:textId="61043734" w:rsidR="00A60A00" w:rsidRPr="002B4E56" w:rsidRDefault="001A7430" w:rsidP="00C84527">
                  <w:pPr>
                    <w:ind w:left="-54"/>
                    <w:jc w:val="center"/>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C4" w14:textId="77777777" w:rsidR="00A60A00" w:rsidRPr="002B4E56" w:rsidRDefault="00A60A00" w:rsidP="00C84527">
                  <w:pPr>
                    <w:jc w:val="center"/>
                    <w:rPr>
                      <w:rFonts w:eastAsia="Times New Roman"/>
                      <w:color w:val="000000"/>
                      <w:sz w:val="14"/>
                      <w:szCs w:val="14"/>
                    </w:rPr>
                  </w:pPr>
                </w:p>
              </w:tc>
            </w:tr>
          </w:tbl>
          <w:p w14:paraId="01C374C6" w14:textId="77777777" w:rsidR="00A60A00" w:rsidRPr="002B4E56" w:rsidRDefault="00A60A00" w:rsidP="00C84527">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A60A00" w:rsidRPr="002B4E56" w14:paraId="01C374C9" w14:textId="77777777" w:rsidTr="00C84527">
              <w:trPr>
                <w:trHeight w:hRule="exact" w:val="216"/>
                <w:tblCellSpacing w:w="14" w:type="dxa"/>
              </w:trPr>
              <w:tc>
                <w:tcPr>
                  <w:tcW w:w="601" w:type="dxa"/>
                  <w:vAlign w:val="center"/>
                </w:tcPr>
                <w:p w14:paraId="01C374C7" w14:textId="2DE586C9" w:rsidR="00A60A00" w:rsidRPr="002B4E56" w:rsidRDefault="001A7430" w:rsidP="00247F32">
                  <w:pPr>
                    <w:ind w:left="-54"/>
                    <w:jc w:val="right"/>
                    <w:rPr>
                      <w:rFonts w:eastAsia="Times New Roman"/>
                      <w:color w:val="000000"/>
                      <w:sz w:val="14"/>
                      <w:szCs w:val="14"/>
                    </w:rPr>
                  </w:pPr>
                  <w:proofErr w:type="spellStart"/>
                  <w:r>
                    <w:rPr>
                      <w:rFonts w:eastAsia="Times New Roman"/>
                      <w:color w:val="000000"/>
                      <w:sz w:val="14"/>
                      <w:szCs w:val="14"/>
                    </w:rPr>
                    <w:t>Kein</w:t>
                  </w:r>
                  <w:r w:rsidRPr="002B4E56">
                    <w:rPr>
                      <w:rFonts w:eastAsia="Times New Roman"/>
                      <w:color w:val="000000"/>
                      <w:sz w:val="14"/>
                      <w:szCs w:val="14"/>
                    </w:rPr>
                    <w:t>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C8" w14:textId="77777777" w:rsidR="00A60A00" w:rsidRPr="002B4E56" w:rsidRDefault="00A60A00" w:rsidP="00247F32">
                  <w:pPr>
                    <w:jc w:val="center"/>
                    <w:rPr>
                      <w:rFonts w:eastAsia="Times New Roman"/>
                      <w:color w:val="000000"/>
                      <w:sz w:val="14"/>
                      <w:szCs w:val="14"/>
                    </w:rPr>
                  </w:pPr>
                </w:p>
              </w:tc>
            </w:tr>
            <w:tr w:rsidR="00A60A00" w:rsidRPr="002B4E56" w14:paraId="01C374CC" w14:textId="77777777" w:rsidTr="00C84527">
              <w:trPr>
                <w:trHeight w:hRule="exact" w:val="216"/>
                <w:tblCellSpacing w:w="14" w:type="dxa"/>
              </w:trPr>
              <w:tc>
                <w:tcPr>
                  <w:tcW w:w="601" w:type="dxa"/>
                  <w:vAlign w:val="center"/>
                </w:tcPr>
                <w:p w14:paraId="01C374CA" w14:textId="250A75BD" w:rsidR="00A60A00" w:rsidRPr="002B4E56" w:rsidRDefault="001A7430" w:rsidP="00247F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CB" w14:textId="77777777" w:rsidR="00A60A00" w:rsidRPr="002B4E56" w:rsidRDefault="00A60A00" w:rsidP="00247F32">
                  <w:pPr>
                    <w:rPr>
                      <w:rFonts w:eastAsia="Times New Roman"/>
                      <w:color w:val="000000"/>
                      <w:sz w:val="14"/>
                      <w:szCs w:val="14"/>
                    </w:rPr>
                  </w:pPr>
                </w:p>
              </w:tc>
            </w:tr>
          </w:tbl>
          <w:p w14:paraId="01C374CD" w14:textId="77777777" w:rsidR="00A60A00" w:rsidRPr="002B4E56" w:rsidRDefault="00A60A00" w:rsidP="00247F32">
            <w:pPr>
              <w:spacing w:line="360" w:lineRule="auto"/>
              <w:jc w:val="center"/>
              <w:rPr>
                <w:rFonts w:eastAsia="Times New Roman"/>
                <w:color w:val="000000"/>
                <w:sz w:val="14"/>
                <w:szCs w:val="14"/>
              </w:rPr>
            </w:pPr>
          </w:p>
        </w:tc>
        <w:tc>
          <w:tcPr>
            <w:tcW w:w="3783" w:type="dxa"/>
            <w:vMerge w:val="restart"/>
            <w:tcBorders>
              <w:top w:val="single" w:sz="12" w:space="0" w:color="auto"/>
            </w:tcBorders>
          </w:tcPr>
          <w:p w14:paraId="01C374CE" w14:textId="77777777" w:rsidR="00A60A00" w:rsidRPr="00CF2D28" w:rsidRDefault="00A60A00" w:rsidP="00723918">
            <w:pPr>
              <w:spacing w:line="360" w:lineRule="auto"/>
              <w:rPr>
                <w:sz w:val="18"/>
                <w:szCs w:val="20"/>
              </w:rPr>
            </w:pPr>
          </w:p>
        </w:tc>
        <w:tc>
          <w:tcPr>
            <w:tcW w:w="717" w:type="dxa"/>
            <w:vMerge w:val="restart"/>
            <w:tcBorders>
              <w:top w:val="single" w:sz="12" w:space="0" w:color="auto"/>
              <w:right w:val="single" w:sz="12" w:space="0" w:color="000000" w:themeColor="text1"/>
            </w:tcBorders>
          </w:tcPr>
          <w:p w14:paraId="01C374CF" w14:textId="77777777" w:rsidR="00A60A00" w:rsidRPr="00CF2D28" w:rsidRDefault="00A60A00" w:rsidP="00723918">
            <w:pPr>
              <w:spacing w:line="360" w:lineRule="auto"/>
              <w:rPr>
                <w:sz w:val="18"/>
                <w:szCs w:val="20"/>
              </w:rPr>
            </w:pPr>
          </w:p>
        </w:tc>
      </w:tr>
      <w:tr w:rsidR="00C84527" w14:paraId="01C374D9" w14:textId="77777777" w:rsidTr="00030736">
        <w:trPr>
          <w:trHeight w:val="472"/>
        </w:trPr>
        <w:tc>
          <w:tcPr>
            <w:tcW w:w="1982" w:type="dxa"/>
            <w:tcBorders>
              <w:top w:val="dashed" w:sz="4" w:space="0" w:color="auto"/>
              <w:left w:val="single" w:sz="12" w:space="0" w:color="000000" w:themeColor="text1"/>
              <w:bottom w:val="single" w:sz="12" w:space="0" w:color="auto"/>
            </w:tcBorders>
          </w:tcPr>
          <w:p w14:paraId="01C374D1" w14:textId="77777777" w:rsidR="00A60A00" w:rsidRPr="002D51CF" w:rsidRDefault="00A60A00" w:rsidP="00723918">
            <w:pPr>
              <w:spacing w:line="360" w:lineRule="auto"/>
              <w:rPr>
                <w:sz w:val="20"/>
                <w:szCs w:val="20"/>
              </w:rPr>
            </w:pPr>
          </w:p>
        </w:tc>
        <w:tc>
          <w:tcPr>
            <w:tcW w:w="2536" w:type="dxa"/>
            <w:vMerge/>
            <w:tcBorders>
              <w:bottom w:val="single" w:sz="12" w:space="0" w:color="auto"/>
            </w:tcBorders>
          </w:tcPr>
          <w:p w14:paraId="01C374D2" w14:textId="77777777" w:rsidR="00A60A00" w:rsidRPr="002D51CF" w:rsidRDefault="00A60A00" w:rsidP="00723918">
            <w:pPr>
              <w:spacing w:line="360" w:lineRule="auto"/>
              <w:rPr>
                <w:sz w:val="20"/>
                <w:szCs w:val="20"/>
              </w:rPr>
            </w:pPr>
          </w:p>
        </w:tc>
        <w:tc>
          <w:tcPr>
            <w:tcW w:w="863" w:type="dxa"/>
            <w:vMerge/>
            <w:tcBorders>
              <w:bottom w:val="single" w:sz="12" w:space="0" w:color="auto"/>
            </w:tcBorders>
          </w:tcPr>
          <w:p w14:paraId="01C374D3" w14:textId="77777777" w:rsidR="00A60A00" w:rsidRPr="002D51CF" w:rsidRDefault="00A60A00" w:rsidP="00723918">
            <w:pPr>
              <w:spacing w:before="120" w:line="360" w:lineRule="auto"/>
              <w:jc w:val="right"/>
              <w:rPr>
                <w:rFonts w:eastAsia="Times New Roman"/>
                <w:color w:val="000000"/>
                <w:sz w:val="20"/>
                <w:szCs w:val="20"/>
              </w:rPr>
            </w:pPr>
          </w:p>
        </w:tc>
        <w:tc>
          <w:tcPr>
            <w:tcW w:w="1027" w:type="dxa"/>
            <w:vMerge/>
            <w:tcBorders>
              <w:bottom w:val="single" w:sz="12" w:space="0" w:color="auto"/>
            </w:tcBorders>
            <w:vAlign w:val="center"/>
          </w:tcPr>
          <w:p w14:paraId="01C374D4" w14:textId="77777777" w:rsidR="00A60A00" w:rsidRPr="00065824" w:rsidRDefault="00A60A00" w:rsidP="00C84527">
            <w:pPr>
              <w:spacing w:before="120" w:line="360" w:lineRule="auto"/>
              <w:jc w:val="center"/>
              <w:rPr>
                <w:rFonts w:eastAsia="Times New Roman"/>
                <w:color w:val="000000"/>
                <w:sz w:val="16"/>
                <w:szCs w:val="20"/>
              </w:rPr>
            </w:pPr>
          </w:p>
        </w:tc>
        <w:tc>
          <w:tcPr>
            <w:tcW w:w="1170" w:type="dxa"/>
            <w:vMerge/>
            <w:tcBorders>
              <w:bottom w:val="single" w:sz="12" w:space="0" w:color="auto"/>
            </w:tcBorders>
            <w:vAlign w:val="center"/>
          </w:tcPr>
          <w:p w14:paraId="01C374D5" w14:textId="77777777" w:rsidR="00A60A00" w:rsidRPr="00065824" w:rsidRDefault="00A60A00" w:rsidP="00C84527">
            <w:pPr>
              <w:spacing w:line="360" w:lineRule="auto"/>
              <w:jc w:val="center"/>
              <w:rPr>
                <w:rFonts w:eastAsia="Times New Roman"/>
                <w:color w:val="000000"/>
                <w:sz w:val="16"/>
                <w:szCs w:val="20"/>
              </w:rPr>
            </w:pPr>
          </w:p>
        </w:tc>
        <w:tc>
          <w:tcPr>
            <w:tcW w:w="1080" w:type="dxa"/>
            <w:vMerge/>
            <w:tcBorders>
              <w:bottom w:val="single" w:sz="12" w:space="0" w:color="auto"/>
            </w:tcBorders>
            <w:vAlign w:val="center"/>
          </w:tcPr>
          <w:p w14:paraId="01C374D6" w14:textId="77777777" w:rsidR="00A60A00" w:rsidRPr="00065824" w:rsidRDefault="00A60A00" w:rsidP="00723918">
            <w:pPr>
              <w:spacing w:line="360" w:lineRule="auto"/>
              <w:jc w:val="right"/>
              <w:rPr>
                <w:rFonts w:eastAsia="Times New Roman"/>
                <w:color w:val="000000"/>
                <w:sz w:val="16"/>
                <w:szCs w:val="20"/>
              </w:rPr>
            </w:pPr>
          </w:p>
        </w:tc>
        <w:tc>
          <w:tcPr>
            <w:tcW w:w="3783" w:type="dxa"/>
            <w:vMerge/>
            <w:tcBorders>
              <w:bottom w:val="single" w:sz="12" w:space="0" w:color="auto"/>
            </w:tcBorders>
          </w:tcPr>
          <w:p w14:paraId="01C374D7" w14:textId="77777777" w:rsidR="00A60A00" w:rsidRDefault="00A60A00" w:rsidP="00723918">
            <w:pPr>
              <w:spacing w:line="360" w:lineRule="auto"/>
            </w:pPr>
          </w:p>
        </w:tc>
        <w:tc>
          <w:tcPr>
            <w:tcW w:w="717" w:type="dxa"/>
            <w:vMerge/>
            <w:tcBorders>
              <w:bottom w:val="single" w:sz="12" w:space="0" w:color="auto"/>
              <w:right w:val="single" w:sz="12" w:space="0" w:color="000000" w:themeColor="text1"/>
            </w:tcBorders>
          </w:tcPr>
          <w:p w14:paraId="01C374D8" w14:textId="77777777" w:rsidR="00A60A00" w:rsidRDefault="00A60A00" w:rsidP="00723918">
            <w:pPr>
              <w:spacing w:line="360" w:lineRule="auto"/>
            </w:pPr>
          </w:p>
        </w:tc>
      </w:tr>
    </w:tbl>
    <w:p w14:paraId="57165507" w14:textId="3497B0FF" w:rsidR="0084634C" w:rsidRDefault="0084634C">
      <w:pPr>
        <w:rPr>
          <w:rFonts w:eastAsia="MS PGothic"/>
          <w:color w:val="FF0000"/>
          <w:kern w:val="2"/>
          <w:lang w:eastAsia="ja-JP"/>
        </w:rPr>
      </w:pPr>
    </w:p>
    <w:p w14:paraId="0F745CE1" w14:textId="79EB48EF" w:rsidR="00974D53" w:rsidRPr="003A425B" w:rsidRDefault="00767927" w:rsidP="00767927">
      <w:r>
        <w:lastRenderedPageBreak/>
        <w:t xml:space="preserve">                                                        </w:t>
      </w:r>
      <w:proofErr w:type="spellStart"/>
      <w:r w:rsidR="00974D53" w:rsidRPr="00767927">
        <w:t>Arbeitsblatt</w:t>
      </w:r>
      <w:proofErr w:type="spellEnd"/>
      <w:r w:rsidR="00974D53" w:rsidRPr="00767927">
        <w:t xml:space="preserve"> </w:t>
      </w:r>
      <w:proofErr w:type="spellStart"/>
      <w:r w:rsidR="00974D53" w:rsidRPr="00767927">
        <w:t>Stoffangaben</w:t>
      </w:r>
      <w:proofErr w:type="spellEnd"/>
      <w:r w:rsidR="00974D53" w:rsidRPr="00767927">
        <w:t xml:space="preserve"> </w:t>
      </w:r>
      <w:proofErr w:type="spellStart"/>
      <w:r w:rsidR="00974D53" w:rsidRPr="00767927">
        <w:t>für</w:t>
      </w:r>
      <w:proofErr w:type="spellEnd"/>
      <w:r w:rsidR="00974D53" w:rsidRPr="00767927">
        <w:t xml:space="preserve"> GPCSE</w:t>
      </w:r>
      <w:r w:rsidR="00974D53" w:rsidRPr="002B5950">
        <w:t xml:space="preserve">-Revision </w:t>
      </w:r>
      <w:r w:rsidR="000E44A4">
        <w:rPr>
          <w:color w:val="000000" w:themeColor="text1"/>
        </w:rPr>
        <w:t>AA</w:t>
      </w:r>
      <w:r w:rsidR="002D16AB" w:rsidRPr="002D16AB">
        <w:rPr>
          <w:color w:val="000000" w:themeColor="text1"/>
        </w:rPr>
        <w:t xml:space="preserve">, </w:t>
      </w:r>
      <w:r w:rsidR="000E44A4">
        <w:rPr>
          <w:color w:val="000000" w:themeColor="text1"/>
        </w:rPr>
        <w:t>23</w:t>
      </w:r>
      <w:r w:rsidR="002D16AB" w:rsidRPr="002D16AB">
        <w:rPr>
          <w:color w:val="000000" w:themeColor="text1"/>
        </w:rPr>
        <w:t xml:space="preserve">. </w:t>
      </w:r>
      <w:proofErr w:type="spellStart"/>
      <w:r w:rsidR="002D16AB" w:rsidRPr="002D16AB">
        <w:rPr>
          <w:color w:val="000000" w:themeColor="text1"/>
        </w:rPr>
        <w:t>J</w:t>
      </w:r>
      <w:r w:rsidR="000E44A4">
        <w:rPr>
          <w:color w:val="000000" w:themeColor="text1"/>
        </w:rPr>
        <w:t>uli</w:t>
      </w:r>
      <w:proofErr w:type="spellEnd"/>
      <w:r w:rsidR="002D16AB" w:rsidRPr="002D16AB">
        <w:rPr>
          <w:color w:val="000000" w:themeColor="text1"/>
        </w:rPr>
        <w:t xml:space="preserve"> 2019</w:t>
      </w:r>
    </w:p>
    <w:tbl>
      <w:tblPr>
        <w:tblStyle w:val="TableGrid"/>
        <w:tblW w:w="13158" w:type="dxa"/>
        <w:tblLayout w:type="fixed"/>
        <w:tblLook w:val="04A0" w:firstRow="1" w:lastRow="0" w:firstColumn="1" w:lastColumn="0" w:noHBand="0" w:noVBand="1"/>
      </w:tblPr>
      <w:tblGrid>
        <w:gridCol w:w="1998"/>
        <w:gridCol w:w="2520"/>
        <w:gridCol w:w="810"/>
        <w:gridCol w:w="1080"/>
        <w:gridCol w:w="1170"/>
        <w:gridCol w:w="1080"/>
        <w:gridCol w:w="3780"/>
        <w:gridCol w:w="720"/>
      </w:tblGrid>
      <w:tr w:rsidR="00974D53" w:rsidRPr="002B4E56" w14:paraId="01C374E8" w14:textId="77777777" w:rsidTr="00030736">
        <w:trPr>
          <w:trHeight w:val="548"/>
        </w:trPr>
        <w:tc>
          <w:tcPr>
            <w:tcW w:w="1998" w:type="dxa"/>
            <w:tcBorders>
              <w:top w:val="single" w:sz="12" w:space="0" w:color="auto"/>
              <w:left w:val="single" w:sz="12" w:space="0" w:color="000000" w:themeColor="text1"/>
              <w:bottom w:val="dashed" w:sz="4" w:space="0" w:color="auto"/>
            </w:tcBorders>
            <w:shd w:val="clear" w:color="auto" w:fill="DBE5F1" w:themeFill="accent1" w:themeFillTint="33"/>
            <w:vAlign w:val="center"/>
          </w:tcPr>
          <w:p w14:paraId="01C374DC" w14:textId="5A0F6E7B" w:rsidR="00974D53" w:rsidRPr="002B4E56" w:rsidRDefault="00974D53" w:rsidP="00974D53">
            <w:pPr>
              <w:jc w:val="center"/>
              <w:rPr>
                <w:sz w:val="14"/>
                <w:szCs w:val="14"/>
              </w:rPr>
            </w:pPr>
            <w:r>
              <w:rPr>
                <w:rFonts w:eastAsia="Times New Roman"/>
                <w:sz w:val="14"/>
                <w:szCs w:val="14"/>
              </w:rPr>
              <w:t xml:space="preserve">X-Rite </w:t>
            </w:r>
            <w:proofErr w:type="spellStart"/>
            <w:r>
              <w:rPr>
                <w:rFonts w:eastAsia="Times New Roman"/>
                <w:sz w:val="14"/>
                <w:szCs w:val="14"/>
              </w:rPr>
              <w:t>Artikelnr</w:t>
            </w:r>
            <w:proofErr w:type="spellEnd"/>
            <w:r>
              <w:rPr>
                <w:rFonts w:eastAsia="Times New Roman"/>
                <w:sz w:val="14"/>
                <w:szCs w:val="14"/>
              </w:rPr>
              <w:t>.</w:t>
            </w:r>
          </w:p>
        </w:tc>
        <w:tc>
          <w:tcPr>
            <w:tcW w:w="2520" w:type="dxa"/>
            <w:vMerge w:val="restart"/>
            <w:tcBorders>
              <w:top w:val="single" w:sz="12" w:space="0" w:color="auto"/>
            </w:tcBorders>
            <w:shd w:val="clear" w:color="auto" w:fill="DBE5F1" w:themeFill="accent1" w:themeFillTint="33"/>
            <w:vAlign w:val="center"/>
          </w:tcPr>
          <w:p w14:paraId="01C374DD" w14:textId="473F23D1" w:rsidR="00974D53" w:rsidRPr="002B4E56" w:rsidRDefault="00974D53" w:rsidP="00974D53">
            <w:pPr>
              <w:jc w:val="center"/>
              <w:rPr>
                <w:sz w:val="14"/>
                <w:szCs w:val="14"/>
              </w:rPr>
            </w:pPr>
            <w:proofErr w:type="spellStart"/>
            <w:r>
              <w:rPr>
                <w:rFonts w:eastAsia="Times New Roman"/>
                <w:sz w:val="14"/>
                <w:szCs w:val="14"/>
              </w:rPr>
              <w:t>Teile</w:t>
            </w:r>
            <w:proofErr w:type="spellEnd"/>
            <w:r>
              <w:rPr>
                <w:rFonts w:eastAsia="Times New Roman"/>
                <w:sz w:val="14"/>
                <w:szCs w:val="14"/>
              </w:rPr>
              <w:t xml:space="preserve">- </w:t>
            </w:r>
            <w:proofErr w:type="spellStart"/>
            <w:r>
              <w:rPr>
                <w:rFonts w:eastAsia="Times New Roman"/>
                <w:sz w:val="14"/>
                <w:szCs w:val="14"/>
              </w:rPr>
              <w:t>oder</w:t>
            </w:r>
            <w:proofErr w:type="spellEnd"/>
            <w:r>
              <w:rPr>
                <w:rFonts w:eastAsia="Times New Roman"/>
                <w:sz w:val="14"/>
                <w:szCs w:val="14"/>
              </w:rPr>
              <w:t xml:space="preserve"> </w:t>
            </w:r>
            <w:proofErr w:type="spellStart"/>
            <w:r>
              <w:rPr>
                <w:rFonts w:eastAsia="Times New Roman"/>
                <w:sz w:val="14"/>
                <w:szCs w:val="14"/>
              </w:rPr>
              <w:t>Werkstoff</w:t>
            </w:r>
            <w:r>
              <w:rPr>
                <w:rFonts w:eastAsia="Times New Roman"/>
                <w:sz w:val="14"/>
                <w:szCs w:val="14"/>
              </w:rPr>
              <w:softHyphen/>
              <w:t>beschreibung</w:t>
            </w:r>
            <w:proofErr w:type="spellEnd"/>
          </w:p>
        </w:tc>
        <w:tc>
          <w:tcPr>
            <w:tcW w:w="810" w:type="dxa"/>
            <w:vMerge w:val="restart"/>
            <w:tcBorders>
              <w:top w:val="single" w:sz="12" w:space="0" w:color="auto"/>
            </w:tcBorders>
            <w:shd w:val="clear" w:color="auto" w:fill="DBE5F1" w:themeFill="accent1" w:themeFillTint="33"/>
            <w:vAlign w:val="center"/>
          </w:tcPr>
          <w:p w14:paraId="01C374DE" w14:textId="326BD19A" w:rsidR="00974D53" w:rsidRPr="002B4E56" w:rsidRDefault="00974D53" w:rsidP="00974D53">
            <w:pPr>
              <w:spacing w:before="120"/>
              <w:jc w:val="center"/>
              <w:rPr>
                <w:rFonts w:eastAsia="Times New Roman"/>
                <w:sz w:val="14"/>
                <w:szCs w:val="14"/>
              </w:rPr>
            </w:pPr>
            <w:proofErr w:type="spellStart"/>
            <w:r>
              <w:rPr>
                <w:rFonts w:eastAsia="Times New Roman"/>
                <w:sz w:val="14"/>
                <w:szCs w:val="14"/>
              </w:rPr>
              <w:t>Teile</w:t>
            </w:r>
            <w:proofErr w:type="spellEnd"/>
            <w:r>
              <w:rPr>
                <w:rFonts w:eastAsia="Times New Roman"/>
                <w:sz w:val="14"/>
                <w:szCs w:val="14"/>
              </w:rPr>
              <w:t xml:space="preserve">- </w:t>
            </w:r>
            <w:proofErr w:type="spellStart"/>
            <w:r>
              <w:rPr>
                <w:rFonts w:eastAsia="Times New Roman"/>
                <w:sz w:val="14"/>
                <w:szCs w:val="14"/>
              </w:rPr>
              <w:t>oder</w:t>
            </w:r>
            <w:proofErr w:type="spellEnd"/>
            <w:r>
              <w:rPr>
                <w:rFonts w:eastAsia="Times New Roman"/>
                <w:sz w:val="14"/>
                <w:szCs w:val="14"/>
              </w:rPr>
              <w:t xml:space="preserve"> </w:t>
            </w:r>
            <w:proofErr w:type="spellStart"/>
            <w:r>
              <w:rPr>
                <w:rFonts w:eastAsia="Times New Roman"/>
                <w:sz w:val="14"/>
                <w:szCs w:val="14"/>
              </w:rPr>
              <w:t>Werkstoff</w:t>
            </w:r>
            <w:r>
              <w:rPr>
                <w:rFonts w:eastAsia="Times New Roman"/>
                <w:sz w:val="14"/>
                <w:szCs w:val="14"/>
              </w:rPr>
              <w:softHyphen/>
              <w:t>gewicht</w:t>
            </w:r>
            <w:proofErr w:type="spellEnd"/>
            <w:r>
              <w:rPr>
                <w:rFonts w:eastAsia="Times New Roman"/>
                <w:sz w:val="14"/>
                <w:szCs w:val="14"/>
              </w:rPr>
              <w:t xml:space="preserve"> (Gramm)</w:t>
            </w:r>
          </w:p>
        </w:tc>
        <w:tc>
          <w:tcPr>
            <w:tcW w:w="1080" w:type="dxa"/>
            <w:vMerge w:val="restart"/>
            <w:tcBorders>
              <w:top w:val="single" w:sz="12" w:space="0" w:color="auto"/>
            </w:tcBorders>
            <w:shd w:val="clear" w:color="auto" w:fill="DBE5F1" w:themeFill="accent1" w:themeFillTint="33"/>
            <w:vAlign w:val="center"/>
          </w:tcPr>
          <w:p w14:paraId="01C374DF" w14:textId="68E77EE2" w:rsidR="00974D53" w:rsidRPr="002B4E56" w:rsidRDefault="00974D53" w:rsidP="00974D53">
            <w:pPr>
              <w:spacing w:before="120"/>
              <w:jc w:val="center"/>
              <w:rPr>
                <w:rFonts w:eastAsia="Times New Roman"/>
                <w:color w:val="000000"/>
                <w:sz w:val="14"/>
                <w:szCs w:val="14"/>
              </w:rPr>
            </w:pPr>
            <w:r>
              <w:rPr>
                <w:rFonts w:eastAsia="Times New Roman"/>
                <w:sz w:val="14"/>
                <w:szCs w:val="14"/>
              </w:rPr>
              <w:t xml:space="preserve">RoHS </w:t>
            </w:r>
            <w:proofErr w:type="spellStart"/>
            <w:r>
              <w:rPr>
                <w:rFonts w:eastAsia="Times New Roman"/>
                <w:sz w:val="14"/>
                <w:szCs w:val="14"/>
              </w:rPr>
              <w:t>erfüllt</w:t>
            </w:r>
            <w:proofErr w:type="spellEnd"/>
            <w:r>
              <w:rPr>
                <w:rFonts w:eastAsia="Times New Roman"/>
                <w:sz w:val="14"/>
                <w:szCs w:val="14"/>
              </w:rPr>
              <w:t>?</w:t>
            </w:r>
          </w:p>
        </w:tc>
        <w:tc>
          <w:tcPr>
            <w:tcW w:w="1170" w:type="dxa"/>
            <w:vMerge w:val="restart"/>
            <w:tcBorders>
              <w:top w:val="single" w:sz="12" w:space="0" w:color="auto"/>
            </w:tcBorders>
            <w:shd w:val="clear" w:color="auto" w:fill="DBE5F1" w:themeFill="accent1" w:themeFillTint="33"/>
            <w:vAlign w:val="center"/>
          </w:tcPr>
          <w:p w14:paraId="01C374E1" w14:textId="34713D53" w:rsidR="00974D53" w:rsidRPr="002B4E56" w:rsidRDefault="00974D53" w:rsidP="00974D53">
            <w:pPr>
              <w:jc w:val="center"/>
              <w:rPr>
                <w:rFonts w:eastAsia="Times New Roman"/>
                <w:color w:val="000000"/>
                <w:sz w:val="14"/>
                <w:szCs w:val="14"/>
              </w:rPr>
            </w:pPr>
            <w:r w:rsidRPr="004E46E3">
              <w:rPr>
                <w:rFonts w:cs="Times New Roman"/>
                <w:sz w:val="14"/>
                <w:szCs w:val="14"/>
                <w:lang w:val="de-DE"/>
              </w:rPr>
              <w:t>Alle REACH SVHC-Inhalte in Produkten oder Produktteilen &gt; 0,1% wt/wt?</w:t>
            </w:r>
          </w:p>
        </w:tc>
        <w:tc>
          <w:tcPr>
            <w:tcW w:w="1080" w:type="dxa"/>
            <w:vMerge w:val="restart"/>
            <w:tcBorders>
              <w:top w:val="single" w:sz="12" w:space="0" w:color="auto"/>
            </w:tcBorders>
            <w:shd w:val="clear" w:color="auto" w:fill="DBE5F1" w:themeFill="accent1" w:themeFillTint="33"/>
            <w:vAlign w:val="center"/>
          </w:tcPr>
          <w:p w14:paraId="7C1F237B" w14:textId="77777777" w:rsidR="00974D53" w:rsidRPr="004E46E3" w:rsidRDefault="00974D53" w:rsidP="00974D53">
            <w:pPr>
              <w:jc w:val="center"/>
              <w:rPr>
                <w:rFonts w:cs="Times New Roman"/>
                <w:sz w:val="14"/>
                <w:szCs w:val="14"/>
                <w:lang w:val="de-DE"/>
              </w:rPr>
            </w:pPr>
            <w:r w:rsidRPr="004E46E3">
              <w:rPr>
                <w:rFonts w:cs="Times New Roman"/>
                <w:sz w:val="14"/>
                <w:szCs w:val="14"/>
                <w:lang w:val="de-DE"/>
              </w:rPr>
              <w:t>Eventuell andere eingeschränkte oder meldepflichtige Stoffe?</w:t>
            </w:r>
          </w:p>
          <w:p w14:paraId="01C374E2" w14:textId="774A655A" w:rsidR="00974D53" w:rsidRPr="002B4E56" w:rsidRDefault="00974D53" w:rsidP="00974D53">
            <w:pPr>
              <w:jc w:val="center"/>
              <w:rPr>
                <w:rFonts w:eastAsia="Times New Roman"/>
                <w:color w:val="000000"/>
                <w:sz w:val="14"/>
                <w:szCs w:val="14"/>
              </w:rPr>
            </w:pPr>
          </w:p>
        </w:tc>
        <w:tc>
          <w:tcPr>
            <w:tcW w:w="3780" w:type="dxa"/>
            <w:vMerge w:val="restart"/>
            <w:tcBorders>
              <w:top w:val="single" w:sz="12" w:space="0" w:color="auto"/>
            </w:tcBorders>
            <w:shd w:val="clear" w:color="auto" w:fill="DBE5F1" w:themeFill="accent1" w:themeFillTint="33"/>
            <w:vAlign w:val="center"/>
          </w:tcPr>
          <w:p w14:paraId="2B90E5BC" w14:textId="77777777" w:rsidR="00974D53" w:rsidRPr="004E46E3" w:rsidRDefault="00974D53" w:rsidP="00974D53">
            <w:pPr>
              <w:pStyle w:val="ListParagraph"/>
              <w:ind w:left="0"/>
              <w:rPr>
                <w:rFonts w:cs="Times New Roman"/>
                <w:sz w:val="14"/>
                <w:szCs w:val="14"/>
                <w:lang w:val="de-DE"/>
              </w:rPr>
            </w:pPr>
            <w:r w:rsidRPr="004E46E3">
              <w:rPr>
                <w:rFonts w:cs="Times New Roman"/>
                <w:sz w:val="14"/>
                <w:szCs w:val="14"/>
                <w:lang w:val="de-DE"/>
              </w:rPr>
              <w:t>Liste erstellen und/oder Erklärung machen zu eventuellen:</w:t>
            </w:r>
          </w:p>
          <w:p w14:paraId="70CA24C7" w14:textId="77777777" w:rsidR="00974D53" w:rsidRPr="004E46E3" w:rsidRDefault="00974D53" w:rsidP="00C5606C">
            <w:pPr>
              <w:pStyle w:val="ListParagraph"/>
              <w:numPr>
                <w:ilvl w:val="0"/>
                <w:numId w:val="5"/>
              </w:numPr>
              <w:ind w:left="162" w:hanging="162"/>
              <w:rPr>
                <w:rFonts w:cs="Times New Roman"/>
                <w:sz w:val="14"/>
                <w:szCs w:val="14"/>
                <w:lang w:val="de-DE"/>
              </w:rPr>
            </w:pPr>
            <w:r w:rsidRPr="004E46E3">
              <w:rPr>
                <w:rFonts w:cs="Times New Roman"/>
                <w:sz w:val="14"/>
                <w:szCs w:val="14"/>
                <w:lang w:val="de-DE"/>
              </w:rPr>
              <w:t>RoHS Anhang III &amp; IV Ausnahmen, die für Erfüllung verwendet werden</w:t>
            </w:r>
          </w:p>
          <w:p w14:paraId="15F1CB13" w14:textId="77777777" w:rsidR="00974D53" w:rsidRPr="004E46E3" w:rsidRDefault="00974D53" w:rsidP="00C5606C">
            <w:pPr>
              <w:pStyle w:val="ListParagraph"/>
              <w:numPr>
                <w:ilvl w:val="0"/>
                <w:numId w:val="5"/>
              </w:numPr>
              <w:ind w:left="162" w:hanging="162"/>
              <w:rPr>
                <w:rFonts w:cs="Times New Roman"/>
                <w:sz w:val="14"/>
                <w:szCs w:val="14"/>
                <w:lang w:val="de-DE"/>
              </w:rPr>
            </w:pPr>
            <w:r w:rsidRPr="004E46E3">
              <w:rPr>
                <w:rFonts w:cs="Times New Roman"/>
                <w:sz w:val="14"/>
                <w:szCs w:val="14"/>
                <w:lang w:val="de-DE"/>
              </w:rPr>
              <w:t>SVHC-Konzentrationen von &gt; 0,1% (Stoffe und tatsächlichen Gehalt aufführen)</w:t>
            </w:r>
          </w:p>
          <w:p w14:paraId="01C374E6" w14:textId="78085737" w:rsidR="00974D53" w:rsidRPr="002B4E56" w:rsidRDefault="00974D53" w:rsidP="00C5606C">
            <w:pPr>
              <w:pStyle w:val="ListParagraph"/>
              <w:numPr>
                <w:ilvl w:val="0"/>
                <w:numId w:val="3"/>
              </w:numPr>
              <w:ind w:left="162" w:hanging="162"/>
              <w:rPr>
                <w:rFonts w:eastAsia="Times New Roman"/>
                <w:sz w:val="14"/>
                <w:szCs w:val="14"/>
              </w:rPr>
            </w:pPr>
            <w:r w:rsidRPr="004E46E3">
              <w:rPr>
                <w:rFonts w:cs="Times New Roman"/>
                <w:sz w:val="14"/>
                <w:szCs w:val="14"/>
                <w:lang w:val="de-DE"/>
              </w:rPr>
              <w:t>Zusätzliche Stoffe, die den aufgeführten Grenzwert überschreiten (Stoffe und tatsächlichen Gehalt aufführen)</w:t>
            </w:r>
          </w:p>
        </w:tc>
        <w:tc>
          <w:tcPr>
            <w:tcW w:w="720" w:type="dxa"/>
            <w:vMerge w:val="restart"/>
            <w:tcBorders>
              <w:top w:val="single" w:sz="12" w:space="0" w:color="auto"/>
              <w:right w:val="single" w:sz="12" w:space="0" w:color="000000" w:themeColor="text1"/>
            </w:tcBorders>
            <w:shd w:val="clear" w:color="auto" w:fill="DBE5F1" w:themeFill="accent1" w:themeFillTint="33"/>
            <w:vAlign w:val="center"/>
          </w:tcPr>
          <w:p w14:paraId="01C374E7" w14:textId="65D2B3C2" w:rsidR="00974D53" w:rsidRPr="002B4E56" w:rsidRDefault="00974D53" w:rsidP="00974D53">
            <w:pPr>
              <w:jc w:val="center"/>
              <w:rPr>
                <w:sz w:val="14"/>
                <w:szCs w:val="14"/>
              </w:rPr>
            </w:pPr>
            <w:r w:rsidRPr="002B4E56">
              <w:rPr>
                <w:rFonts w:eastAsia="Times New Roman"/>
                <w:sz w:val="14"/>
                <w:szCs w:val="14"/>
              </w:rPr>
              <w:t>% or ppm</w:t>
            </w:r>
          </w:p>
        </w:tc>
      </w:tr>
      <w:tr w:rsidR="00810FBB" w:rsidRPr="002B4E56" w14:paraId="01C374F1" w14:textId="77777777" w:rsidTr="00030736">
        <w:trPr>
          <w:trHeight w:val="468"/>
        </w:trPr>
        <w:tc>
          <w:tcPr>
            <w:tcW w:w="1998" w:type="dxa"/>
            <w:tcBorders>
              <w:top w:val="dashed" w:sz="4" w:space="0" w:color="auto"/>
              <w:left w:val="single" w:sz="12" w:space="0" w:color="000000" w:themeColor="text1"/>
              <w:bottom w:val="single" w:sz="12" w:space="0" w:color="auto"/>
            </w:tcBorders>
            <w:shd w:val="clear" w:color="auto" w:fill="DBE5F1" w:themeFill="accent1" w:themeFillTint="33"/>
            <w:vAlign w:val="center"/>
          </w:tcPr>
          <w:p w14:paraId="01C374E9" w14:textId="39D94627" w:rsidR="00810FBB" w:rsidRPr="002B4E56" w:rsidRDefault="00974D53" w:rsidP="00170A32">
            <w:pPr>
              <w:jc w:val="center"/>
              <w:rPr>
                <w:sz w:val="14"/>
                <w:szCs w:val="14"/>
              </w:rPr>
            </w:pPr>
            <w:proofErr w:type="spellStart"/>
            <w:r>
              <w:rPr>
                <w:rFonts w:eastAsia="Times New Roman"/>
                <w:sz w:val="14"/>
                <w:szCs w:val="14"/>
              </w:rPr>
              <w:t>Artikelnummer</w:t>
            </w:r>
            <w:proofErr w:type="spellEnd"/>
            <w:r>
              <w:rPr>
                <w:rFonts w:eastAsia="Times New Roman"/>
                <w:sz w:val="14"/>
                <w:szCs w:val="14"/>
              </w:rPr>
              <w:t xml:space="preserve"> des </w:t>
            </w:r>
            <w:proofErr w:type="spellStart"/>
            <w:r>
              <w:rPr>
                <w:rFonts w:eastAsia="Times New Roman"/>
                <w:sz w:val="14"/>
                <w:szCs w:val="14"/>
              </w:rPr>
              <w:t>Lieferanten</w:t>
            </w:r>
            <w:proofErr w:type="spellEnd"/>
          </w:p>
        </w:tc>
        <w:tc>
          <w:tcPr>
            <w:tcW w:w="2520" w:type="dxa"/>
            <w:vMerge/>
            <w:tcBorders>
              <w:bottom w:val="single" w:sz="12" w:space="0" w:color="auto"/>
            </w:tcBorders>
            <w:shd w:val="clear" w:color="auto" w:fill="DBE5F1" w:themeFill="accent1" w:themeFillTint="33"/>
            <w:vAlign w:val="center"/>
          </w:tcPr>
          <w:p w14:paraId="01C374EA" w14:textId="77777777" w:rsidR="00810FBB" w:rsidRPr="002B4E56" w:rsidRDefault="00810FBB" w:rsidP="00170A32">
            <w:pPr>
              <w:jc w:val="center"/>
              <w:rPr>
                <w:sz w:val="14"/>
                <w:szCs w:val="14"/>
              </w:rPr>
            </w:pPr>
          </w:p>
        </w:tc>
        <w:tc>
          <w:tcPr>
            <w:tcW w:w="810" w:type="dxa"/>
            <w:vMerge/>
            <w:tcBorders>
              <w:bottom w:val="single" w:sz="12" w:space="0" w:color="auto"/>
            </w:tcBorders>
            <w:shd w:val="clear" w:color="auto" w:fill="DBE5F1" w:themeFill="accent1" w:themeFillTint="33"/>
          </w:tcPr>
          <w:p w14:paraId="01C374EB" w14:textId="77777777" w:rsidR="00810FBB" w:rsidRPr="002B4E56" w:rsidRDefault="00810FBB" w:rsidP="00170A32">
            <w:pPr>
              <w:spacing w:before="120"/>
              <w:jc w:val="center"/>
              <w:rPr>
                <w:rFonts w:eastAsia="Times New Roman"/>
                <w:color w:val="000000"/>
                <w:sz w:val="14"/>
                <w:szCs w:val="14"/>
              </w:rPr>
            </w:pPr>
          </w:p>
        </w:tc>
        <w:tc>
          <w:tcPr>
            <w:tcW w:w="1080" w:type="dxa"/>
            <w:vMerge/>
            <w:tcBorders>
              <w:bottom w:val="single" w:sz="12" w:space="0" w:color="auto"/>
            </w:tcBorders>
            <w:shd w:val="clear" w:color="auto" w:fill="DBE5F1" w:themeFill="accent1" w:themeFillTint="33"/>
            <w:vAlign w:val="center"/>
          </w:tcPr>
          <w:p w14:paraId="01C374EC" w14:textId="77777777" w:rsidR="00810FBB" w:rsidRPr="002B4E56" w:rsidRDefault="00810FBB" w:rsidP="00170A32">
            <w:pPr>
              <w:spacing w:before="120"/>
              <w:jc w:val="center"/>
              <w:rPr>
                <w:rFonts w:eastAsia="Times New Roman"/>
                <w:color w:val="000000"/>
                <w:sz w:val="14"/>
                <w:szCs w:val="14"/>
              </w:rPr>
            </w:pPr>
          </w:p>
        </w:tc>
        <w:tc>
          <w:tcPr>
            <w:tcW w:w="1170" w:type="dxa"/>
            <w:vMerge/>
            <w:tcBorders>
              <w:bottom w:val="single" w:sz="12" w:space="0" w:color="auto"/>
            </w:tcBorders>
            <w:shd w:val="clear" w:color="auto" w:fill="DBE5F1" w:themeFill="accent1" w:themeFillTint="33"/>
            <w:vAlign w:val="center"/>
          </w:tcPr>
          <w:p w14:paraId="01C374ED" w14:textId="77777777" w:rsidR="00810FBB" w:rsidRPr="002B4E56" w:rsidRDefault="00810FBB" w:rsidP="00170A32">
            <w:pPr>
              <w:jc w:val="center"/>
              <w:rPr>
                <w:rFonts w:eastAsia="Times New Roman"/>
                <w:color w:val="000000"/>
                <w:sz w:val="14"/>
                <w:szCs w:val="14"/>
              </w:rPr>
            </w:pPr>
          </w:p>
        </w:tc>
        <w:tc>
          <w:tcPr>
            <w:tcW w:w="1080" w:type="dxa"/>
            <w:vMerge/>
            <w:tcBorders>
              <w:bottom w:val="single" w:sz="12" w:space="0" w:color="auto"/>
            </w:tcBorders>
            <w:shd w:val="clear" w:color="auto" w:fill="DBE5F1" w:themeFill="accent1" w:themeFillTint="33"/>
            <w:vAlign w:val="center"/>
          </w:tcPr>
          <w:p w14:paraId="01C374EE" w14:textId="77777777" w:rsidR="00810FBB" w:rsidRPr="002B4E56" w:rsidRDefault="00810FBB" w:rsidP="00170A32">
            <w:pPr>
              <w:jc w:val="center"/>
              <w:rPr>
                <w:rFonts w:eastAsia="Times New Roman"/>
                <w:color w:val="000000"/>
                <w:sz w:val="14"/>
                <w:szCs w:val="14"/>
              </w:rPr>
            </w:pPr>
          </w:p>
        </w:tc>
        <w:tc>
          <w:tcPr>
            <w:tcW w:w="3780" w:type="dxa"/>
            <w:vMerge/>
            <w:tcBorders>
              <w:bottom w:val="single" w:sz="12" w:space="0" w:color="auto"/>
            </w:tcBorders>
            <w:shd w:val="clear" w:color="auto" w:fill="DBE5F1" w:themeFill="accent1" w:themeFillTint="33"/>
            <w:vAlign w:val="center"/>
          </w:tcPr>
          <w:p w14:paraId="01C374EF" w14:textId="77777777" w:rsidR="00810FBB" w:rsidRPr="002B4E56" w:rsidRDefault="00810FBB" w:rsidP="00170A32">
            <w:pPr>
              <w:jc w:val="center"/>
              <w:rPr>
                <w:sz w:val="14"/>
                <w:szCs w:val="14"/>
              </w:rPr>
            </w:pPr>
          </w:p>
        </w:tc>
        <w:tc>
          <w:tcPr>
            <w:tcW w:w="720" w:type="dxa"/>
            <w:vMerge/>
            <w:tcBorders>
              <w:bottom w:val="single" w:sz="12" w:space="0" w:color="auto"/>
              <w:right w:val="single" w:sz="12" w:space="0" w:color="000000" w:themeColor="text1"/>
            </w:tcBorders>
            <w:shd w:val="clear" w:color="auto" w:fill="DBE5F1" w:themeFill="accent1" w:themeFillTint="33"/>
            <w:vAlign w:val="center"/>
          </w:tcPr>
          <w:p w14:paraId="01C374F0" w14:textId="77777777" w:rsidR="00810FBB" w:rsidRPr="002B4E56" w:rsidRDefault="00810FBB" w:rsidP="00170A32">
            <w:pPr>
              <w:jc w:val="center"/>
              <w:rPr>
                <w:sz w:val="14"/>
                <w:szCs w:val="14"/>
              </w:rPr>
            </w:pPr>
          </w:p>
        </w:tc>
      </w:tr>
      <w:tr w:rsidR="00810FBB" w:rsidRPr="002B4E56" w14:paraId="01C3750F" w14:textId="77777777" w:rsidTr="00030736">
        <w:trPr>
          <w:trHeight w:val="473"/>
        </w:trPr>
        <w:tc>
          <w:tcPr>
            <w:tcW w:w="1998" w:type="dxa"/>
            <w:tcBorders>
              <w:top w:val="single" w:sz="12" w:space="0" w:color="auto"/>
              <w:left w:val="single" w:sz="12" w:space="0" w:color="000000" w:themeColor="text1"/>
              <w:bottom w:val="dashed" w:sz="4" w:space="0" w:color="auto"/>
            </w:tcBorders>
          </w:tcPr>
          <w:p w14:paraId="01C374F2" w14:textId="77777777" w:rsidR="00810FBB" w:rsidRPr="00CF2D28" w:rsidRDefault="00810FBB" w:rsidP="00170A32">
            <w:pPr>
              <w:spacing w:line="360" w:lineRule="auto"/>
              <w:rPr>
                <w:sz w:val="18"/>
                <w:szCs w:val="20"/>
              </w:rPr>
            </w:pPr>
          </w:p>
        </w:tc>
        <w:tc>
          <w:tcPr>
            <w:tcW w:w="2520" w:type="dxa"/>
            <w:vMerge w:val="restart"/>
            <w:tcBorders>
              <w:top w:val="single" w:sz="12" w:space="0" w:color="auto"/>
            </w:tcBorders>
          </w:tcPr>
          <w:p w14:paraId="01C374F3" w14:textId="77777777" w:rsidR="00810FBB" w:rsidRPr="00CF2D28" w:rsidRDefault="00810FBB" w:rsidP="00170A32">
            <w:pPr>
              <w:spacing w:line="360" w:lineRule="auto"/>
              <w:rPr>
                <w:sz w:val="18"/>
                <w:szCs w:val="20"/>
              </w:rPr>
            </w:pPr>
          </w:p>
        </w:tc>
        <w:tc>
          <w:tcPr>
            <w:tcW w:w="810" w:type="dxa"/>
            <w:vMerge w:val="restart"/>
            <w:tcBorders>
              <w:top w:val="single" w:sz="12" w:space="0" w:color="auto"/>
            </w:tcBorders>
          </w:tcPr>
          <w:p w14:paraId="01C374F4" w14:textId="77777777" w:rsidR="00810FBB" w:rsidRPr="00CF2D28" w:rsidRDefault="00810FBB" w:rsidP="00170A32">
            <w:pPr>
              <w:ind w:left="-54"/>
              <w:jc w:val="right"/>
              <w:rPr>
                <w:rFonts w:eastAsia="Times New Roman"/>
                <w:color w:val="000000"/>
                <w:sz w:val="18"/>
                <w:szCs w:val="20"/>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4F7" w14:textId="77777777" w:rsidTr="00170A32">
              <w:trPr>
                <w:trHeight w:hRule="exact" w:val="216"/>
                <w:tblCellSpacing w:w="14" w:type="dxa"/>
              </w:trPr>
              <w:tc>
                <w:tcPr>
                  <w:tcW w:w="601" w:type="dxa"/>
                  <w:vAlign w:val="center"/>
                </w:tcPr>
                <w:p w14:paraId="01C374F5" w14:textId="760BFBCE"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F6" w14:textId="77777777" w:rsidR="00810FBB" w:rsidRPr="002B4E56" w:rsidRDefault="00810FBB" w:rsidP="00170A32">
                  <w:pPr>
                    <w:jc w:val="center"/>
                    <w:rPr>
                      <w:rFonts w:eastAsia="Times New Roman"/>
                      <w:color w:val="000000"/>
                      <w:sz w:val="14"/>
                      <w:szCs w:val="14"/>
                    </w:rPr>
                  </w:pPr>
                </w:p>
              </w:tc>
            </w:tr>
            <w:tr w:rsidR="00810FBB" w:rsidRPr="002B4E56" w14:paraId="01C374FA" w14:textId="77777777" w:rsidTr="00170A32">
              <w:trPr>
                <w:trHeight w:hRule="exact" w:val="216"/>
                <w:tblCellSpacing w:w="14" w:type="dxa"/>
              </w:trPr>
              <w:tc>
                <w:tcPr>
                  <w:tcW w:w="601" w:type="dxa"/>
                  <w:vAlign w:val="center"/>
                </w:tcPr>
                <w:p w14:paraId="01C374F8" w14:textId="601C69B0" w:rsidR="00810FBB" w:rsidRPr="002B4E56" w:rsidRDefault="00810FBB" w:rsidP="00170A32">
                  <w:pPr>
                    <w:ind w:left="-54"/>
                    <w:jc w:val="right"/>
                    <w:rPr>
                      <w:rFonts w:eastAsia="Times New Roman"/>
                      <w:color w:val="000000"/>
                      <w:sz w:val="14"/>
                      <w:szCs w:val="14"/>
                    </w:rPr>
                  </w:pPr>
                  <w:proofErr w:type="spellStart"/>
                  <w:r w:rsidRPr="002B4E56">
                    <w:rPr>
                      <w:rFonts w:eastAsia="Times New Roman"/>
                      <w:color w:val="000000"/>
                      <w:sz w:val="14"/>
                      <w:szCs w:val="14"/>
                    </w:rPr>
                    <w:t>N</w:t>
                  </w:r>
                  <w:r w:rsidR="001A7430">
                    <w:rPr>
                      <w:rFonts w:eastAsia="Times New Roman"/>
                      <w:color w:val="000000"/>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F9" w14:textId="77777777" w:rsidR="00810FBB" w:rsidRPr="002B4E56" w:rsidRDefault="00810FBB" w:rsidP="00170A32">
                  <w:pPr>
                    <w:rPr>
                      <w:rFonts w:eastAsia="Times New Roman"/>
                      <w:color w:val="000000"/>
                      <w:sz w:val="14"/>
                      <w:szCs w:val="14"/>
                    </w:rPr>
                  </w:pPr>
                </w:p>
              </w:tc>
            </w:tr>
            <w:tr w:rsidR="00810FBB" w:rsidRPr="002B4E56" w14:paraId="01C374FD" w14:textId="77777777" w:rsidTr="00170A32">
              <w:trPr>
                <w:trHeight w:hRule="exact" w:val="216"/>
                <w:tblCellSpacing w:w="14" w:type="dxa"/>
              </w:trPr>
              <w:tc>
                <w:tcPr>
                  <w:tcW w:w="601" w:type="dxa"/>
                  <w:vAlign w:val="center"/>
                </w:tcPr>
                <w:p w14:paraId="01C374FB" w14:textId="0EA5033D" w:rsidR="00810FBB" w:rsidRPr="002B4E56" w:rsidRDefault="001A7430" w:rsidP="00170A32">
                  <w:pPr>
                    <w:jc w:val="right"/>
                    <w:rPr>
                      <w:rFonts w:eastAsia="Times New Roman"/>
                      <w:color w:val="000000"/>
                      <w:sz w:val="14"/>
                      <w:szCs w:val="14"/>
                    </w:rPr>
                  </w:pPr>
                  <w:r>
                    <w:rPr>
                      <w:rFonts w:eastAsia="Times New Roman"/>
                      <w:color w:val="000000"/>
                      <w:sz w:val="14"/>
                      <w:szCs w:val="14"/>
                    </w:rPr>
                    <w:t>Ja</w:t>
                  </w:r>
                  <w:r w:rsidR="00BE6376" w:rsidRPr="002B4E56">
                    <w:rPr>
                      <w:rFonts w:eastAsia="Times New Roman"/>
                      <w:color w:val="000000"/>
                      <w:sz w:val="14"/>
                      <w:szCs w:val="14"/>
                    </w:rPr>
                    <w:t xml:space="preserve">, </w:t>
                  </w:r>
                  <w:proofErr w:type="spellStart"/>
                  <w:r w:rsidR="00BE6376" w:rsidRPr="002B4E56">
                    <w:rPr>
                      <w:rFonts w:eastAsia="Times New Roman"/>
                      <w:color w:val="000000"/>
                      <w:sz w:val="14"/>
                      <w:szCs w:val="14"/>
                    </w:rPr>
                    <w:t>b</w:t>
                  </w:r>
                  <w:r>
                    <w:rPr>
                      <w:rFonts w:eastAsia="Times New Roman"/>
                      <w:color w:val="000000"/>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4FC" w14:textId="77777777" w:rsidR="00810FBB" w:rsidRPr="002B4E56" w:rsidRDefault="00810FBB" w:rsidP="00170A32">
                  <w:pPr>
                    <w:jc w:val="center"/>
                    <w:rPr>
                      <w:rFonts w:eastAsia="Times New Roman"/>
                      <w:color w:val="000000"/>
                      <w:sz w:val="14"/>
                      <w:szCs w:val="14"/>
                    </w:rPr>
                  </w:pPr>
                </w:p>
              </w:tc>
            </w:tr>
          </w:tbl>
          <w:p w14:paraId="01C374FE" w14:textId="54D2C72F" w:rsidR="00810FBB" w:rsidRPr="002B4E56" w:rsidRDefault="001A7430" w:rsidP="00170A32">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01" w14:textId="77777777" w:rsidTr="00170A32">
              <w:trPr>
                <w:trHeight w:hRule="exact" w:val="216"/>
                <w:tblCellSpacing w:w="14" w:type="dxa"/>
              </w:trPr>
              <w:tc>
                <w:tcPr>
                  <w:tcW w:w="601" w:type="dxa"/>
                  <w:vAlign w:val="center"/>
                </w:tcPr>
                <w:p w14:paraId="01C374FF" w14:textId="4B1630B2"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00" w14:textId="77777777" w:rsidR="00810FBB" w:rsidRPr="002B4E56" w:rsidRDefault="00810FBB" w:rsidP="00170A32">
                  <w:pPr>
                    <w:jc w:val="center"/>
                    <w:rPr>
                      <w:rFonts w:eastAsia="Times New Roman"/>
                      <w:color w:val="000000"/>
                      <w:sz w:val="14"/>
                      <w:szCs w:val="14"/>
                    </w:rPr>
                  </w:pPr>
                </w:p>
              </w:tc>
            </w:tr>
            <w:tr w:rsidR="00810FBB" w:rsidRPr="002B4E56" w14:paraId="01C37504" w14:textId="77777777" w:rsidTr="00170A32">
              <w:trPr>
                <w:trHeight w:hRule="exact" w:val="216"/>
                <w:tblCellSpacing w:w="14" w:type="dxa"/>
              </w:trPr>
              <w:tc>
                <w:tcPr>
                  <w:tcW w:w="601" w:type="dxa"/>
                  <w:vAlign w:val="center"/>
                </w:tcPr>
                <w:p w14:paraId="01C37502" w14:textId="314E4EB8"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03" w14:textId="77777777" w:rsidR="00810FBB" w:rsidRPr="002B4E56" w:rsidRDefault="00810FBB" w:rsidP="00170A32">
                  <w:pPr>
                    <w:rPr>
                      <w:rFonts w:eastAsia="Times New Roman"/>
                      <w:color w:val="000000"/>
                      <w:sz w:val="14"/>
                      <w:szCs w:val="14"/>
                    </w:rPr>
                  </w:pPr>
                </w:p>
              </w:tc>
            </w:tr>
          </w:tbl>
          <w:p w14:paraId="01C37505" w14:textId="77777777" w:rsidR="00810FBB" w:rsidRPr="002B4E56" w:rsidRDefault="00810FBB" w:rsidP="00170A32">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08" w14:textId="77777777" w:rsidTr="00170A32">
              <w:trPr>
                <w:trHeight w:hRule="exact" w:val="216"/>
                <w:tblCellSpacing w:w="14" w:type="dxa"/>
              </w:trPr>
              <w:tc>
                <w:tcPr>
                  <w:tcW w:w="601" w:type="dxa"/>
                  <w:vAlign w:val="center"/>
                </w:tcPr>
                <w:p w14:paraId="01C37506" w14:textId="35885FB0"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07" w14:textId="77777777" w:rsidR="00810FBB" w:rsidRPr="002B4E56" w:rsidRDefault="00810FBB" w:rsidP="00170A32">
                  <w:pPr>
                    <w:jc w:val="center"/>
                    <w:rPr>
                      <w:rFonts w:eastAsia="Times New Roman"/>
                      <w:color w:val="000000"/>
                      <w:sz w:val="14"/>
                      <w:szCs w:val="14"/>
                    </w:rPr>
                  </w:pPr>
                </w:p>
              </w:tc>
            </w:tr>
            <w:tr w:rsidR="00810FBB" w:rsidRPr="002B4E56" w14:paraId="01C3750B" w14:textId="77777777" w:rsidTr="00170A32">
              <w:trPr>
                <w:trHeight w:hRule="exact" w:val="216"/>
                <w:tblCellSpacing w:w="14" w:type="dxa"/>
              </w:trPr>
              <w:tc>
                <w:tcPr>
                  <w:tcW w:w="601" w:type="dxa"/>
                  <w:vAlign w:val="center"/>
                </w:tcPr>
                <w:p w14:paraId="01C37509" w14:textId="3812D558"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0A" w14:textId="77777777" w:rsidR="00810FBB" w:rsidRPr="002B4E56" w:rsidRDefault="00810FBB" w:rsidP="00170A32">
                  <w:pPr>
                    <w:rPr>
                      <w:rFonts w:eastAsia="Times New Roman"/>
                      <w:color w:val="000000"/>
                      <w:sz w:val="14"/>
                      <w:szCs w:val="14"/>
                    </w:rPr>
                  </w:pPr>
                </w:p>
              </w:tc>
            </w:tr>
          </w:tbl>
          <w:p w14:paraId="01C3750C" w14:textId="77777777" w:rsidR="00810FBB" w:rsidRPr="002B4E56" w:rsidRDefault="00810FBB" w:rsidP="00170A32">
            <w:pPr>
              <w:spacing w:line="360" w:lineRule="auto"/>
              <w:jc w:val="center"/>
              <w:rPr>
                <w:rFonts w:eastAsia="Times New Roman"/>
                <w:color w:val="000000"/>
                <w:sz w:val="14"/>
                <w:szCs w:val="14"/>
              </w:rPr>
            </w:pPr>
          </w:p>
        </w:tc>
        <w:tc>
          <w:tcPr>
            <w:tcW w:w="3780" w:type="dxa"/>
            <w:vMerge w:val="restart"/>
            <w:tcBorders>
              <w:top w:val="single" w:sz="12" w:space="0" w:color="auto"/>
            </w:tcBorders>
          </w:tcPr>
          <w:p w14:paraId="01C3750D" w14:textId="77777777" w:rsidR="00810FBB" w:rsidRPr="00CF2D28" w:rsidRDefault="00810FBB" w:rsidP="00170A32">
            <w:pPr>
              <w:spacing w:line="360" w:lineRule="auto"/>
              <w:rPr>
                <w:sz w:val="18"/>
                <w:szCs w:val="20"/>
              </w:rPr>
            </w:pPr>
          </w:p>
        </w:tc>
        <w:tc>
          <w:tcPr>
            <w:tcW w:w="720" w:type="dxa"/>
            <w:vMerge w:val="restart"/>
            <w:tcBorders>
              <w:top w:val="single" w:sz="12" w:space="0" w:color="auto"/>
              <w:right w:val="single" w:sz="12" w:space="0" w:color="000000" w:themeColor="text1"/>
            </w:tcBorders>
          </w:tcPr>
          <w:p w14:paraId="01C3750E" w14:textId="77777777" w:rsidR="00810FBB" w:rsidRPr="00CF2D28" w:rsidRDefault="00810FBB" w:rsidP="00170A32">
            <w:pPr>
              <w:spacing w:line="360" w:lineRule="auto"/>
              <w:rPr>
                <w:sz w:val="18"/>
                <w:szCs w:val="20"/>
              </w:rPr>
            </w:pPr>
          </w:p>
        </w:tc>
      </w:tr>
      <w:tr w:rsidR="00810FBB" w:rsidRPr="002B4E56" w14:paraId="01C37518" w14:textId="77777777" w:rsidTr="00030736">
        <w:trPr>
          <w:trHeight w:val="472"/>
        </w:trPr>
        <w:tc>
          <w:tcPr>
            <w:tcW w:w="1998" w:type="dxa"/>
            <w:tcBorders>
              <w:top w:val="dashed" w:sz="4" w:space="0" w:color="auto"/>
              <w:left w:val="single" w:sz="12" w:space="0" w:color="000000" w:themeColor="text1"/>
              <w:bottom w:val="single" w:sz="12" w:space="0" w:color="auto"/>
            </w:tcBorders>
          </w:tcPr>
          <w:p w14:paraId="01C37510" w14:textId="77777777" w:rsidR="00810FBB" w:rsidRPr="00CF2D28" w:rsidRDefault="00810FBB" w:rsidP="00170A32">
            <w:pPr>
              <w:spacing w:line="360" w:lineRule="auto"/>
              <w:rPr>
                <w:sz w:val="18"/>
                <w:szCs w:val="20"/>
              </w:rPr>
            </w:pPr>
          </w:p>
        </w:tc>
        <w:tc>
          <w:tcPr>
            <w:tcW w:w="2520" w:type="dxa"/>
            <w:vMerge/>
            <w:tcBorders>
              <w:bottom w:val="single" w:sz="12" w:space="0" w:color="auto"/>
            </w:tcBorders>
          </w:tcPr>
          <w:p w14:paraId="01C37511" w14:textId="77777777" w:rsidR="00810FBB" w:rsidRPr="00CF2D28" w:rsidRDefault="00810FBB" w:rsidP="00170A32">
            <w:pPr>
              <w:spacing w:line="360" w:lineRule="auto"/>
              <w:rPr>
                <w:sz w:val="18"/>
                <w:szCs w:val="20"/>
              </w:rPr>
            </w:pPr>
          </w:p>
        </w:tc>
        <w:tc>
          <w:tcPr>
            <w:tcW w:w="810" w:type="dxa"/>
            <w:vMerge/>
            <w:tcBorders>
              <w:bottom w:val="single" w:sz="12" w:space="0" w:color="auto"/>
            </w:tcBorders>
          </w:tcPr>
          <w:p w14:paraId="01C37512" w14:textId="77777777" w:rsidR="00810FBB" w:rsidRPr="00CF2D28" w:rsidRDefault="00810FBB" w:rsidP="00170A32">
            <w:pPr>
              <w:spacing w:before="120" w:line="360" w:lineRule="auto"/>
              <w:jc w:val="right"/>
              <w:rPr>
                <w:rFonts w:eastAsia="Times New Roman"/>
                <w:color w:val="000000"/>
                <w:sz w:val="18"/>
                <w:szCs w:val="20"/>
              </w:rPr>
            </w:pPr>
          </w:p>
        </w:tc>
        <w:tc>
          <w:tcPr>
            <w:tcW w:w="1080" w:type="dxa"/>
            <w:vMerge/>
            <w:tcBorders>
              <w:bottom w:val="single" w:sz="12" w:space="0" w:color="auto"/>
            </w:tcBorders>
            <w:vAlign w:val="center"/>
          </w:tcPr>
          <w:p w14:paraId="01C37513" w14:textId="77777777" w:rsidR="00810FBB" w:rsidRPr="002B4E56" w:rsidRDefault="00810FBB" w:rsidP="00170A32">
            <w:pPr>
              <w:spacing w:before="120" w:line="360" w:lineRule="auto"/>
              <w:jc w:val="right"/>
              <w:rPr>
                <w:rFonts w:eastAsia="Times New Roman"/>
                <w:color w:val="000000"/>
                <w:sz w:val="14"/>
                <w:szCs w:val="14"/>
              </w:rPr>
            </w:pPr>
          </w:p>
        </w:tc>
        <w:tc>
          <w:tcPr>
            <w:tcW w:w="1170" w:type="dxa"/>
            <w:vMerge/>
            <w:tcBorders>
              <w:bottom w:val="single" w:sz="12" w:space="0" w:color="auto"/>
            </w:tcBorders>
            <w:vAlign w:val="center"/>
          </w:tcPr>
          <w:p w14:paraId="01C37514" w14:textId="77777777" w:rsidR="00810FBB" w:rsidRPr="002B4E56" w:rsidRDefault="00810FBB" w:rsidP="00170A32">
            <w:pPr>
              <w:spacing w:line="360" w:lineRule="auto"/>
              <w:jc w:val="right"/>
              <w:rPr>
                <w:rFonts w:eastAsia="Times New Roman"/>
                <w:color w:val="000000"/>
                <w:sz w:val="14"/>
                <w:szCs w:val="14"/>
              </w:rPr>
            </w:pPr>
          </w:p>
        </w:tc>
        <w:tc>
          <w:tcPr>
            <w:tcW w:w="1080" w:type="dxa"/>
            <w:vMerge/>
            <w:tcBorders>
              <w:bottom w:val="single" w:sz="12" w:space="0" w:color="auto"/>
            </w:tcBorders>
            <w:vAlign w:val="center"/>
          </w:tcPr>
          <w:p w14:paraId="01C37515" w14:textId="77777777" w:rsidR="00810FBB" w:rsidRPr="002B4E56" w:rsidRDefault="00810FBB" w:rsidP="00170A32">
            <w:pPr>
              <w:spacing w:line="360" w:lineRule="auto"/>
              <w:jc w:val="right"/>
              <w:rPr>
                <w:rFonts w:eastAsia="Times New Roman"/>
                <w:color w:val="000000"/>
                <w:sz w:val="14"/>
                <w:szCs w:val="14"/>
              </w:rPr>
            </w:pPr>
          </w:p>
        </w:tc>
        <w:tc>
          <w:tcPr>
            <w:tcW w:w="3780" w:type="dxa"/>
            <w:vMerge/>
            <w:tcBorders>
              <w:bottom w:val="single" w:sz="12" w:space="0" w:color="auto"/>
            </w:tcBorders>
          </w:tcPr>
          <w:p w14:paraId="01C37516" w14:textId="77777777" w:rsidR="00810FBB" w:rsidRPr="00CF2D28" w:rsidRDefault="00810FBB" w:rsidP="00170A32">
            <w:pPr>
              <w:spacing w:line="360" w:lineRule="auto"/>
              <w:rPr>
                <w:sz w:val="18"/>
                <w:szCs w:val="20"/>
              </w:rPr>
            </w:pPr>
          </w:p>
        </w:tc>
        <w:tc>
          <w:tcPr>
            <w:tcW w:w="720" w:type="dxa"/>
            <w:vMerge/>
            <w:tcBorders>
              <w:bottom w:val="single" w:sz="12" w:space="0" w:color="auto"/>
              <w:right w:val="single" w:sz="12" w:space="0" w:color="000000" w:themeColor="text1"/>
            </w:tcBorders>
          </w:tcPr>
          <w:p w14:paraId="01C37517" w14:textId="77777777" w:rsidR="00810FBB" w:rsidRPr="00CF2D28" w:rsidRDefault="00810FBB" w:rsidP="00170A32">
            <w:pPr>
              <w:spacing w:line="360" w:lineRule="auto"/>
              <w:rPr>
                <w:sz w:val="18"/>
                <w:szCs w:val="20"/>
              </w:rPr>
            </w:pPr>
          </w:p>
        </w:tc>
      </w:tr>
      <w:tr w:rsidR="00810FBB" w:rsidRPr="002B4E56" w14:paraId="01C37536" w14:textId="77777777" w:rsidTr="00030736">
        <w:trPr>
          <w:trHeight w:val="473"/>
        </w:trPr>
        <w:tc>
          <w:tcPr>
            <w:tcW w:w="1998" w:type="dxa"/>
            <w:tcBorders>
              <w:top w:val="single" w:sz="12" w:space="0" w:color="auto"/>
              <w:left w:val="single" w:sz="12" w:space="0" w:color="000000" w:themeColor="text1"/>
              <w:bottom w:val="dashed" w:sz="4" w:space="0" w:color="auto"/>
            </w:tcBorders>
          </w:tcPr>
          <w:p w14:paraId="01C37519" w14:textId="77777777" w:rsidR="00810FBB" w:rsidRPr="00CF2D28" w:rsidRDefault="00810FBB" w:rsidP="00170A32">
            <w:pPr>
              <w:spacing w:line="360" w:lineRule="auto"/>
              <w:rPr>
                <w:sz w:val="18"/>
                <w:szCs w:val="20"/>
              </w:rPr>
            </w:pPr>
          </w:p>
        </w:tc>
        <w:tc>
          <w:tcPr>
            <w:tcW w:w="2520" w:type="dxa"/>
            <w:vMerge w:val="restart"/>
            <w:tcBorders>
              <w:top w:val="single" w:sz="12" w:space="0" w:color="auto"/>
            </w:tcBorders>
          </w:tcPr>
          <w:p w14:paraId="01C3751A" w14:textId="77777777" w:rsidR="00810FBB" w:rsidRPr="00CF2D28" w:rsidRDefault="00810FBB" w:rsidP="00170A32">
            <w:pPr>
              <w:spacing w:line="360" w:lineRule="auto"/>
              <w:rPr>
                <w:sz w:val="18"/>
                <w:szCs w:val="20"/>
              </w:rPr>
            </w:pPr>
          </w:p>
        </w:tc>
        <w:tc>
          <w:tcPr>
            <w:tcW w:w="810" w:type="dxa"/>
            <w:vMerge w:val="restart"/>
            <w:tcBorders>
              <w:top w:val="single" w:sz="12" w:space="0" w:color="auto"/>
            </w:tcBorders>
          </w:tcPr>
          <w:p w14:paraId="01C3751B" w14:textId="77777777" w:rsidR="00810FBB" w:rsidRPr="00CF2D28" w:rsidRDefault="00810FBB" w:rsidP="00170A32">
            <w:pPr>
              <w:ind w:left="-54"/>
              <w:jc w:val="right"/>
              <w:rPr>
                <w:rFonts w:eastAsia="Times New Roman"/>
                <w:color w:val="000000"/>
                <w:sz w:val="18"/>
                <w:szCs w:val="20"/>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1E" w14:textId="77777777" w:rsidTr="00170A32">
              <w:trPr>
                <w:trHeight w:hRule="exact" w:val="216"/>
                <w:tblCellSpacing w:w="14" w:type="dxa"/>
              </w:trPr>
              <w:tc>
                <w:tcPr>
                  <w:tcW w:w="601" w:type="dxa"/>
                  <w:vAlign w:val="center"/>
                </w:tcPr>
                <w:p w14:paraId="01C3751C" w14:textId="6544EB6B"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1D" w14:textId="77777777" w:rsidR="00810FBB" w:rsidRPr="002B4E56" w:rsidRDefault="00810FBB" w:rsidP="00170A32">
                  <w:pPr>
                    <w:jc w:val="center"/>
                    <w:rPr>
                      <w:rFonts w:eastAsia="Times New Roman"/>
                      <w:color w:val="000000"/>
                      <w:sz w:val="14"/>
                      <w:szCs w:val="14"/>
                    </w:rPr>
                  </w:pPr>
                </w:p>
              </w:tc>
            </w:tr>
            <w:tr w:rsidR="00810FBB" w:rsidRPr="002B4E56" w14:paraId="01C37521" w14:textId="77777777" w:rsidTr="00170A32">
              <w:trPr>
                <w:trHeight w:hRule="exact" w:val="216"/>
                <w:tblCellSpacing w:w="14" w:type="dxa"/>
              </w:trPr>
              <w:tc>
                <w:tcPr>
                  <w:tcW w:w="601" w:type="dxa"/>
                  <w:vAlign w:val="center"/>
                </w:tcPr>
                <w:p w14:paraId="01C3751F" w14:textId="07ED7115" w:rsidR="00810FBB" w:rsidRPr="002B4E56" w:rsidRDefault="001A7430" w:rsidP="00170A32">
                  <w:pPr>
                    <w:ind w:left="-54"/>
                    <w:jc w:val="right"/>
                    <w:rPr>
                      <w:rFonts w:eastAsia="Times New Roman"/>
                      <w:color w:val="000000"/>
                      <w:sz w:val="14"/>
                      <w:szCs w:val="14"/>
                    </w:rPr>
                  </w:pPr>
                  <w:proofErr w:type="spellStart"/>
                  <w:r w:rsidRPr="002B4E56">
                    <w:rPr>
                      <w:rFonts w:eastAsia="Times New Roman"/>
                      <w:color w:val="000000"/>
                      <w:sz w:val="14"/>
                      <w:szCs w:val="14"/>
                    </w:rPr>
                    <w:t>N</w:t>
                  </w:r>
                  <w:r>
                    <w:rPr>
                      <w:rFonts w:eastAsia="Times New Roman"/>
                      <w:color w:val="000000"/>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20" w14:textId="77777777" w:rsidR="00810FBB" w:rsidRPr="002B4E56" w:rsidRDefault="00810FBB" w:rsidP="00170A32">
                  <w:pPr>
                    <w:rPr>
                      <w:rFonts w:eastAsia="Times New Roman"/>
                      <w:color w:val="000000"/>
                      <w:sz w:val="14"/>
                      <w:szCs w:val="14"/>
                    </w:rPr>
                  </w:pPr>
                </w:p>
              </w:tc>
            </w:tr>
            <w:tr w:rsidR="001A7430" w:rsidRPr="002B4E56" w14:paraId="01C37524" w14:textId="77777777" w:rsidTr="00170A32">
              <w:trPr>
                <w:trHeight w:hRule="exact" w:val="216"/>
                <w:tblCellSpacing w:w="14" w:type="dxa"/>
              </w:trPr>
              <w:tc>
                <w:tcPr>
                  <w:tcW w:w="601" w:type="dxa"/>
                  <w:vAlign w:val="center"/>
                </w:tcPr>
                <w:p w14:paraId="01C37522" w14:textId="3280B23F" w:rsidR="001A7430" w:rsidRPr="002B4E56" w:rsidRDefault="001A7430" w:rsidP="001A7430">
                  <w:pPr>
                    <w:jc w:val="right"/>
                    <w:rPr>
                      <w:rFonts w:eastAsia="Times New Roman"/>
                      <w:color w:val="000000"/>
                      <w:sz w:val="14"/>
                      <w:szCs w:val="14"/>
                    </w:rPr>
                  </w:pPr>
                  <w:r>
                    <w:rPr>
                      <w:rFonts w:eastAsia="Times New Roman"/>
                      <w:color w:val="000000"/>
                      <w:sz w:val="14"/>
                      <w:szCs w:val="14"/>
                    </w:rPr>
                    <w:t>Ja</w:t>
                  </w:r>
                  <w:r w:rsidRPr="002B4E56">
                    <w:rPr>
                      <w:rFonts w:eastAsia="Times New Roman"/>
                      <w:color w:val="000000"/>
                      <w:sz w:val="14"/>
                      <w:szCs w:val="14"/>
                    </w:rPr>
                    <w:t xml:space="preserve">, </w:t>
                  </w:r>
                  <w:proofErr w:type="spellStart"/>
                  <w:r w:rsidRPr="002B4E56">
                    <w:rPr>
                      <w:rFonts w:eastAsia="Times New Roman"/>
                      <w:color w:val="000000"/>
                      <w:sz w:val="14"/>
                      <w:szCs w:val="14"/>
                    </w:rPr>
                    <w:t>b</w:t>
                  </w:r>
                  <w:r>
                    <w:rPr>
                      <w:rFonts w:eastAsia="Times New Roman"/>
                      <w:color w:val="000000"/>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23" w14:textId="77777777" w:rsidR="001A7430" w:rsidRPr="002B4E56" w:rsidRDefault="001A7430" w:rsidP="001A7430">
                  <w:pPr>
                    <w:jc w:val="center"/>
                    <w:rPr>
                      <w:rFonts w:eastAsia="Times New Roman"/>
                      <w:color w:val="000000"/>
                      <w:sz w:val="14"/>
                      <w:szCs w:val="14"/>
                    </w:rPr>
                  </w:pPr>
                </w:p>
              </w:tc>
            </w:tr>
          </w:tbl>
          <w:p w14:paraId="01C37525" w14:textId="051BB7DB" w:rsidR="00810FBB" w:rsidRPr="002B4E56" w:rsidRDefault="001A7430" w:rsidP="00170A32">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28" w14:textId="77777777" w:rsidTr="00170A32">
              <w:trPr>
                <w:trHeight w:hRule="exact" w:val="216"/>
                <w:tblCellSpacing w:w="14" w:type="dxa"/>
              </w:trPr>
              <w:tc>
                <w:tcPr>
                  <w:tcW w:w="601" w:type="dxa"/>
                  <w:vAlign w:val="center"/>
                </w:tcPr>
                <w:p w14:paraId="01C37526" w14:textId="0061B3C5"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27" w14:textId="77777777" w:rsidR="00810FBB" w:rsidRPr="002B4E56" w:rsidRDefault="00810FBB" w:rsidP="00170A32">
                  <w:pPr>
                    <w:jc w:val="center"/>
                    <w:rPr>
                      <w:rFonts w:eastAsia="Times New Roman"/>
                      <w:color w:val="000000"/>
                      <w:sz w:val="14"/>
                      <w:szCs w:val="14"/>
                    </w:rPr>
                  </w:pPr>
                </w:p>
              </w:tc>
            </w:tr>
            <w:tr w:rsidR="00810FBB" w:rsidRPr="002B4E56" w14:paraId="01C3752B" w14:textId="77777777" w:rsidTr="00170A32">
              <w:trPr>
                <w:trHeight w:hRule="exact" w:val="216"/>
                <w:tblCellSpacing w:w="14" w:type="dxa"/>
              </w:trPr>
              <w:tc>
                <w:tcPr>
                  <w:tcW w:w="601" w:type="dxa"/>
                  <w:vAlign w:val="center"/>
                </w:tcPr>
                <w:p w14:paraId="01C37529" w14:textId="3FEB3C79"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2A" w14:textId="77777777" w:rsidR="00810FBB" w:rsidRPr="002B4E56" w:rsidRDefault="00810FBB" w:rsidP="00170A32">
                  <w:pPr>
                    <w:rPr>
                      <w:rFonts w:eastAsia="Times New Roman"/>
                      <w:color w:val="000000"/>
                      <w:sz w:val="14"/>
                      <w:szCs w:val="14"/>
                    </w:rPr>
                  </w:pPr>
                </w:p>
              </w:tc>
            </w:tr>
          </w:tbl>
          <w:p w14:paraId="01C3752C" w14:textId="77777777" w:rsidR="00810FBB" w:rsidRPr="002B4E56" w:rsidRDefault="00810FBB" w:rsidP="00170A32">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2F" w14:textId="77777777" w:rsidTr="00170A32">
              <w:trPr>
                <w:trHeight w:hRule="exact" w:val="216"/>
                <w:tblCellSpacing w:w="14" w:type="dxa"/>
              </w:trPr>
              <w:tc>
                <w:tcPr>
                  <w:tcW w:w="601" w:type="dxa"/>
                  <w:vAlign w:val="center"/>
                </w:tcPr>
                <w:p w14:paraId="01C3752D" w14:textId="6BCCE68C"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2E" w14:textId="77777777" w:rsidR="00810FBB" w:rsidRPr="002B4E56" w:rsidRDefault="00810FBB" w:rsidP="00170A32">
                  <w:pPr>
                    <w:jc w:val="center"/>
                    <w:rPr>
                      <w:rFonts w:eastAsia="Times New Roman"/>
                      <w:color w:val="000000"/>
                      <w:sz w:val="14"/>
                      <w:szCs w:val="14"/>
                    </w:rPr>
                  </w:pPr>
                </w:p>
              </w:tc>
            </w:tr>
            <w:tr w:rsidR="00810FBB" w:rsidRPr="002B4E56" w14:paraId="01C37532" w14:textId="77777777" w:rsidTr="00170A32">
              <w:trPr>
                <w:trHeight w:hRule="exact" w:val="216"/>
                <w:tblCellSpacing w:w="14" w:type="dxa"/>
              </w:trPr>
              <w:tc>
                <w:tcPr>
                  <w:tcW w:w="601" w:type="dxa"/>
                  <w:vAlign w:val="center"/>
                </w:tcPr>
                <w:p w14:paraId="01C37530" w14:textId="0450CFDB"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31" w14:textId="77777777" w:rsidR="00810FBB" w:rsidRPr="002B4E56" w:rsidRDefault="00810FBB" w:rsidP="00170A32">
                  <w:pPr>
                    <w:rPr>
                      <w:rFonts w:eastAsia="Times New Roman"/>
                      <w:color w:val="000000"/>
                      <w:sz w:val="14"/>
                      <w:szCs w:val="14"/>
                    </w:rPr>
                  </w:pPr>
                </w:p>
              </w:tc>
            </w:tr>
          </w:tbl>
          <w:p w14:paraId="01C37533" w14:textId="77777777" w:rsidR="00810FBB" w:rsidRPr="002B4E56" w:rsidRDefault="00810FBB" w:rsidP="00170A32">
            <w:pPr>
              <w:spacing w:line="360" w:lineRule="auto"/>
              <w:jc w:val="center"/>
              <w:rPr>
                <w:rFonts w:eastAsia="Times New Roman"/>
                <w:color w:val="000000"/>
                <w:sz w:val="14"/>
                <w:szCs w:val="14"/>
              </w:rPr>
            </w:pPr>
          </w:p>
        </w:tc>
        <w:tc>
          <w:tcPr>
            <w:tcW w:w="3780" w:type="dxa"/>
            <w:vMerge w:val="restart"/>
            <w:tcBorders>
              <w:top w:val="single" w:sz="12" w:space="0" w:color="auto"/>
            </w:tcBorders>
          </w:tcPr>
          <w:p w14:paraId="01C37534" w14:textId="77777777" w:rsidR="00810FBB" w:rsidRPr="00CF2D28" w:rsidRDefault="00810FBB" w:rsidP="00170A32">
            <w:pPr>
              <w:spacing w:line="360" w:lineRule="auto"/>
              <w:rPr>
                <w:sz w:val="18"/>
                <w:szCs w:val="20"/>
              </w:rPr>
            </w:pPr>
          </w:p>
        </w:tc>
        <w:tc>
          <w:tcPr>
            <w:tcW w:w="720" w:type="dxa"/>
            <w:vMerge w:val="restart"/>
            <w:tcBorders>
              <w:top w:val="single" w:sz="12" w:space="0" w:color="auto"/>
              <w:right w:val="single" w:sz="12" w:space="0" w:color="000000" w:themeColor="text1"/>
            </w:tcBorders>
          </w:tcPr>
          <w:p w14:paraId="01C37535" w14:textId="77777777" w:rsidR="00810FBB" w:rsidRPr="00CF2D28" w:rsidRDefault="00810FBB" w:rsidP="00170A32">
            <w:pPr>
              <w:spacing w:line="360" w:lineRule="auto"/>
              <w:rPr>
                <w:sz w:val="18"/>
                <w:szCs w:val="20"/>
              </w:rPr>
            </w:pPr>
          </w:p>
        </w:tc>
      </w:tr>
      <w:tr w:rsidR="00810FBB" w:rsidRPr="002B4E56" w14:paraId="01C3753F" w14:textId="77777777" w:rsidTr="00030736">
        <w:trPr>
          <w:trHeight w:val="472"/>
        </w:trPr>
        <w:tc>
          <w:tcPr>
            <w:tcW w:w="1998" w:type="dxa"/>
            <w:tcBorders>
              <w:top w:val="dashed" w:sz="4" w:space="0" w:color="auto"/>
              <w:left w:val="single" w:sz="12" w:space="0" w:color="000000" w:themeColor="text1"/>
              <w:bottom w:val="single" w:sz="12" w:space="0" w:color="auto"/>
            </w:tcBorders>
          </w:tcPr>
          <w:p w14:paraId="01C37537" w14:textId="77777777" w:rsidR="00810FBB" w:rsidRPr="00CF2D28" w:rsidRDefault="00810FBB" w:rsidP="00170A32">
            <w:pPr>
              <w:spacing w:line="360" w:lineRule="auto"/>
              <w:rPr>
                <w:sz w:val="18"/>
                <w:szCs w:val="20"/>
              </w:rPr>
            </w:pPr>
          </w:p>
        </w:tc>
        <w:tc>
          <w:tcPr>
            <w:tcW w:w="2520" w:type="dxa"/>
            <w:vMerge/>
            <w:tcBorders>
              <w:bottom w:val="single" w:sz="12" w:space="0" w:color="auto"/>
            </w:tcBorders>
          </w:tcPr>
          <w:p w14:paraId="01C37538" w14:textId="77777777" w:rsidR="00810FBB" w:rsidRPr="00CF2D28" w:rsidRDefault="00810FBB" w:rsidP="00170A32">
            <w:pPr>
              <w:spacing w:line="360" w:lineRule="auto"/>
              <w:rPr>
                <w:sz w:val="18"/>
                <w:szCs w:val="20"/>
              </w:rPr>
            </w:pPr>
          </w:p>
        </w:tc>
        <w:tc>
          <w:tcPr>
            <w:tcW w:w="810" w:type="dxa"/>
            <w:vMerge/>
            <w:tcBorders>
              <w:bottom w:val="single" w:sz="12" w:space="0" w:color="auto"/>
            </w:tcBorders>
          </w:tcPr>
          <w:p w14:paraId="01C37539" w14:textId="77777777" w:rsidR="00810FBB" w:rsidRPr="00CF2D28" w:rsidRDefault="00810FBB" w:rsidP="00170A32">
            <w:pPr>
              <w:spacing w:before="120" w:line="360" w:lineRule="auto"/>
              <w:jc w:val="right"/>
              <w:rPr>
                <w:rFonts w:eastAsia="Times New Roman"/>
                <w:color w:val="000000"/>
                <w:sz w:val="18"/>
                <w:szCs w:val="20"/>
              </w:rPr>
            </w:pPr>
          </w:p>
        </w:tc>
        <w:tc>
          <w:tcPr>
            <w:tcW w:w="1080" w:type="dxa"/>
            <w:vMerge/>
            <w:tcBorders>
              <w:bottom w:val="single" w:sz="12" w:space="0" w:color="auto"/>
            </w:tcBorders>
            <w:vAlign w:val="center"/>
          </w:tcPr>
          <w:p w14:paraId="01C3753A" w14:textId="77777777" w:rsidR="00810FBB" w:rsidRPr="002B4E56" w:rsidRDefault="00810FBB" w:rsidP="00170A32">
            <w:pPr>
              <w:spacing w:before="120" w:line="360" w:lineRule="auto"/>
              <w:jc w:val="right"/>
              <w:rPr>
                <w:rFonts w:eastAsia="Times New Roman"/>
                <w:color w:val="000000"/>
                <w:sz w:val="14"/>
                <w:szCs w:val="14"/>
              </w:rPr>
            </w:pPr>
          </w:p>
        </w:tc>
        <w:tc>
          <w:tcPr>
            <w:tcW w:w="1170" w:type="dxa"/>
            <w:vMerge/>
            <w:tcBorders>
              <w:bottom w:val="single" w:sz="12" w:space="0" w:color="auto"/>
            </w:tcBorders>
            <w:vAlign w:val="center"/>
          </w:tcPr>
          <w:p w14:paraId="01C3753B" w14:textId="77777777" w:rsidR="00810FBB" w:rsidRPr="002B4E56" w:rsidRDefault="00810FBB" w:rsidP="00170A32">
            <w:pPr>
              <w:spacing w:line="360" w:lineRule="auto"/>
              <w:jc w:val="right"/>
              <w:rPr>
                <w:rFonts w:eastAsia="Times New Roman"/>
                <w:color w:val="000000"/>
                <w:sz w:val="14"/>
                <w:szCs w:val="14"/>
              </w:rPr>
            </w:pPr>
          </w:p>
        </w:tc>
        <w:tc>
          <w:tcPr>
            <w:tcW w:w="1080" w:type="dxa"/>
            <w:vMerge/>
            <w:tcBorders>
              <w:bottom w:val="single" w:sz="12" w:space="0" w:color="auto"/>
            </w:tcBorders>
            <w:vAlign w:val="center"/>
          </w:tcPr>
          <w:p w14:paraId="01C3753C" w14:textId="77777777" w:rsidR="00810FBB" w:rsidRPr="002B4E56" w:rsidRDefault="00810FBB" w:rsidP="00170A32">
            <w:pPr>
              <w:spacing w:line="360" w:lineRule="auto"/>
              <w:jc w:val="right"/>
              <w:rPr>
                <w:rFonts w:eastAsia="Times New Roman"/>
                <w:color w:val="000000"/>
                <w:sz w:val="14"/>
                <w:szCs w:val="14"/>
              </w:rPr>
            </w:pPr>
          </w:p>
        </w:tc>
        <w:tc>
          <w:tcPr>
            <w:tcW w:w="3780" w:type="dxa"/>
            <w:vMerge/>
            <w:tcBorders>
              <w:bottom w:val="single" w:sz="12" w:space="0" w:color="auto"/>
            </w:tcBorders>
          </w:tcPr>
          <w:p w14:paraId="01C3753D" w14:textId="77777777" w:rsidR="00810FBB" w:rsidRPr="00CF2D28" w:rsidRDefault="00810FBB" w:rsidP="00170A32">
            <w:pPr>
              <w:spacing w:line="360" w:lineRule="auto"/>
              <w:rPr>
                <w:sz w:val="18"/>
                <w:szCs w:val="20"/>
              </w:rPr>
            </w:pPr>
          </w:p>
        </w:tc>
        <w:tc>
          <w:tcPr>
            <w:tcW w:w="720" w:type="dxa"/>
            <w:vMerge/>
            <w:tcBorders>
              <w:bottom w:val="single" w:sz="12" w:space="0" w:color="auto"/>
              <w:right w:val="single" w:sz="12" w:space="0" w:color="000000" w:themeColor="text1"/>
            </w:tcBorders>
          </w:tcPr>
          <w:p w14:paraId="01C3753E" w14:textId="77777777" w:rsidR="00810FBB" w:rsidRPr="00CF2D28" w:rsidRDefault="00810FBB" w:rsidP="00170A32">
            <w:pPr>
              <w:spacing w:line="360" w:lineRule="auto"/>
              <w:rPr>
                <w:sz w:val="18"/>
                <w:szCs w:val="20"/>
              </w:rPr>
            </w:pPr>
          </w:p>
        </w:tc>
      </w:tr>
      <w:tr w:rsidR="00810FBB" w:rsidRPr="002B4E56" w14:paraId="01C3755D" w14:textId="77777777" w:rsidTr="00030736">
        <w:trPr>
          <w:trHeight w:val="473"/>
        </w:trPr>
        <w:tc>
          <w:tcPr>
            <w:tcW w:w="1998" w:type="dxa"/>
            <w:tcBorders>
              <w:top w:val="single" w:sz="12" w:space="0" w:color="auto"/>
              <w:left w:val="single" w:sz="12" w:space="0" w:color="000000" w:themeColor="text1"/>
              <w:bottom w:val="dashed" w:sz="4" w:space="0" w:color="auto"/>
            </w:tcBorders>
          </w:tcPr>
          <w:p w14:paraId="01C37540" w14:textId="77777777" w:rsidR="00810FBB" w:rsidRPr="00CF2D28" w:rsidRDefault="00810FBB" w:rsidP="00170A32">
            <w:pPr>
              <w:spacing w:line="360" w:lineRule="auto"/>
              <w:rPr>
                <w:sz w:val="18"/>
                <w:szCs w:val="20"/>
              </w:rPr>
            </w:pPr>
          </w:p>
        </w:tc>
        <w:tc>
          <w:tcPr>
            <w:tcW w:w="2520" w:type="dxa"/>
            <w:vMerge w:val="restart"/>
            <w:tcBorders>
              <w:top w:val="single" w:sz="12" w:space="0" w:color="auto"/>
            </w:tcBorders>
          </w:tcPr>
          <w:p w14:paraId="01C37541" w14:textId="77777777" w:rsidR="00810FBB" w:rsidRPr="00CF2D28" w:rsidRDefault="00810FBB" w:rsidP="00170A32">
            <w:pPr>
              <w:spacing w:line="360" w:lineRule="auto"/>
              <w:rPr>
                <w:sz w:val="18"/>
                <w:szCs w:val="20"/>
              </w:rPr>
            </w:pPr>
          </w:p>
        </w:tc>
        <w:tc>
          <w:tcPr>
            <w:tcW w:w="810" w:type="dxa"/>
            <w:vMerge w:val="restart"/>
            <w:tcBorders>
              <w:top w:val="single" w:sz="12" w:space="0" w:color="auto"/>
            </w:tcBorders>
          </w:tcPr>
          <w:p w14:paraId="01C37542" w14:textId="77777777" w:rsidR="00810FBB" w:rsidRPr="00CF2D28" w:rsidRDefault="00810FBB" w:rsidP="00170A32">
            <w:pPr>
              <w:ind w:left="-54"/>
              <w:jc w:val="right"/>
              <w:rPr>
                <w:rFonts w:eastAsia="Times New Roman"/>
                <w:color w:val="000000"/>
                <w:sz w:val="18"/>
                <w:szCs w:val="20"/>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45" w14:textId="77777777" w:rsidTr="00170A32">
              <w:trPr>
                <w:trHeight w:hRule="exact" w:val="216"/>
                <w:tblCellSpacing w:w="14" w:type="dxa"/>
              </w:trPr>
              <w:tc>
                <w:tcPr>
                  <w:tcW w:w="601" w:type="dxa"/>
                  <w:vAlign w:val="center"/>
                </w:tcPr>
                <w:p w14:paraId="01C37543" w14:textId="47540ED9"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44" w14:textId="77777777" w:rsidR="00810FBB" w:rsidRPr="002B4E56" w:rsidRDefault="00810FBB" w:rsidP="00170A32">
                  <w:pPr>
                    <w:jc w:val="center"/>
                    <w:rPr>
                      <w:rFonts w:eastAsia="Times New Roman"/>
                      <w:color w:val="000000"/>
                      <w:sz w:val="14"/>
                      <w:szCs w:val="14"/>
                    </w:rPr>
                  </w:pPr>
                </w:p>
              </w:tc>
            </w:tr>
            <w:tr w:rsidR="00810FBB" w:rsidRPr="002B4E56" w14:paraId="01C37548" w14:textId="77777777" w:rsidTr="00170A32">
              <w:trPr>
                <w:trHeight w:hRule="exact" w:val="216"/>
                <w:tblCellSpacing w:w="14" w:type="dxa"/>
              </w:trPr>
              <w:tc>
                <w:tcPr>
                  <w:tcW w:w="601" w:type="dxa"/>
                  <w:vAlign w:val="center"/>
                </w:tcPr>
                <w:p w14:paraId="01C37546" w14:textId="5F051377" w:rsidR="00810FBB" w:rsidRPr="002B4E56" w:rsidRDefault="001A7430" w:rsidP="00170A32">
                  <w:pPr>
                    <w:ind w:left="-54"/>
                    <w:jc w:val="right"/>
                    <w:rPr>
                      <w:rFonts w:eastAsia="Times New Roman"/>
                      <w:color w:val="000000"/>
                      <w:sz w:val="14"/>
                      <w:szCs w:val="14"/>
                    </w:rPr>
                  </w:pPr>
                  <w:proofErr w:type="spellStart"/>
                  <w:r w:rsidRPr="002B4E56">
                    <w:rPr>
                      <w:rFonts w:eastAsia="Times New Roman"/>
                      <w:color w:val="000000"/>
                      <w:sz w:val="14"/>
                      <w:szCs w:val="14"/>
                    </w:rPr>
                    <w:t>N</w:t>
                  </w:r>
                  <w:r>
                    <w:rPr>
                      <w:rFonts w:eastAsia="Times New Roman"/>
                      <w:color w:val="000000"/>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47" w14:textId="77777777" w:rsidR="00810FBB" w:rsidRPr="002B4E56" w:rsidRDefault="00810FBB" w:rsidP="00170A32">
                  <w:pPr>
                    <w:rPr>
                      <w:rFonts w:eastAsia="Times New Roman"/>
                      <w:color w:val="000000"/>
                      <w:sz w:val="14"/>
                      <w:szCs w:val="14"/>
                    </w:rPr>
                  </w:pPr>
                </w:p>
              </w:tc>
            </w:tr>
            <w:tr w:rsidR="001A7430" w:rsidRPr="002B4E56" w14:paraId="01C3754B" w14:textId="77777777" w:rsidTr="00170A32">
              <w:trPr>
                <w:trHeight w:hRule="exact" w:val="216"/>
                <w:tblCellSpacing w:w="14" w:type="dxa"/>
              </w:trPr>
              <w:tc>
                <w:tcPr>
                  <w:tcW w:w="601" w:type="dxa"/>
                  <w:vAlign w:val="center"/>
                </w:tcPr>
                <w:p w14:paraId="01C37549" w14:textId="78B4D00D" w:rsidR="001A7430" w:rsidRPr="002B4E56" w:rsidRDefault="001A7430" w:rsidP="001A7430">
                  <w:pPr>
                    <w:jc w:val="right"/>
                    <w:rPr>
                      <w:rFonts w:eastAsia="Times New Roman"/>
                      <w:color w:val="000000"/>
                      <w:sz w:val="14"/>
                      <w:szCs w:val="14"/>
                    </w:rPr>
                  </w:pPr>
                  <w:r>
                    <w:rPr>
                      <w:rFonts w:eastAsia="Times New Roman"/>
                      <w:color w:val="000000"/>
                      <w:sz w:val="14"/>
                      <w:szCs w:val="14"/>
                    </w:rPr>
                    <w:t>Ja</w:t>
                  </w:r>
                  <w:r w:rsidRPr="002B4E56">
                    <w:rPr>
                      <w:rFonts w:eastAsia="Times New Roman"/>
                      <w:color w:val="000000"/>
                      <w:sz w:val="14"/>
                      <w:szCs w:val="14"/>
                    </w:rPr>
                    <w:t xml:space="preserve">, </w:t>
                  </w:r>
                  <w:proofErr w:type="spellStart"/>
                  <w:r w:rsidRPr="002B4E56">
                    <w:rPr>
                      <w:rFonts w:eastAsia="Times New Roman"/>
                      <w:color w:val="000000"/>
                      <w:sz w:val="14"/>
                      <w:szCs w:val="14"/>
                    </w:rPr>
                    <w:t>b</w:t>
                  </w:r>
                  <w:r>
                    <w:rPr>
                      <w:rFonts w:eastAsia="Times New Roman"/>
                      <w:color w:val="000000"/>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4A" w14:textId="77777777" w:rsidR="001A7430" w:rsidRPr="002B4E56" w:rsidRDefault="001A7430" w:rsidP="001A7430">
                  <w:pPr>
                    <w:jc w:val="center"/>
                    <w:rPr>
                      <w:rFonts w:eastAsia="Times New Roman"/>
                      <w:color w:val="000000"/>
                      <w:sz w:val="14"/>
                      <w:szCs w:val="14"/>
                    </w:rPr>
                  </w:pPr>
                </w:p>
              </w:tc>
            </w:tr>
          </w:tbl>
          <w:p w14:paraId="01C3754C" w14:textId="4F163C98" w:rsidR="00810FBB" w:rsidRPr="002B4E56" w:rsidRDefault="001A7430" w:rsidP="00170A32">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4F" w14:textId="77777777" w:rsidTr="00170A32">
              <w:trPr>
                <w:trHeight w:hRule="exact" w:val="216"/>
                <w:tblCellSpacing w:w="14" w:type="dxa"/>
              </w:trPr>
              <w:tc>
                <w:tcPr>
                  <w:tcW w:w="601" w:type="dxa"/>
                  <w:vAlign w:val="center"/>
                </w:tcPr>
                <w:p w14:paraId="01C3754D" w14:textId="41A0607A"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4E" w14:textId="77777777" w:rsidR="00810FBB" w:rsidRPr="002B4E56" w:rsidRDefault="00810FBB" w:rsidP="00170A32">
                  <w:pPr>
                    <w:jc w:val="center"/>
                    <w:rPr>
                      <w:rFonts w:eastAsia="Times New Roman"/>
                      <w:color w:val="000000"/>
                      <w:sz w:val="14"/>
                      <w:szCs w:val="14"/>
                    </w:rPr>
                  </w:pPr>
                </w:p>
              </w:tc>
            </w:tr>
            <w:tr w:rsidR="00810FBB" w:rsidRPr="002B4E56" w14:paraId="01C37552" w14:textId="77777777" w:rsidTr="00170A32">
              <w:trPr>
                <w:trHeight w:hRule="exact" w:val="216"/>
                <w:tblCellSpacing w:w="14" w:type="dxa"/>
              </w:trPr>
              <w:tc>
                <w:tcPr>
                  <w:tcW w:w="601" w:type="dxa"/>
                  <w:vAlign w:val="center"/>
                </w:tcPr>
                <w:p w14:paraId="01C37550" w14:textId="24CB43CA"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51" w14:textId="77777777" w:rsidR="00810FBB" w:rsidRPr="002B4E56" w:rsidRDefault="00810FBB" w:rsidP="00170A32">
                  <w:pPr>
                    <w:rPr>
                      <w:rFonts w:eastAsia="Times New Roman"/>
                      <w:color w:val="000000"/>
                      <w:sz w:val="14"/>
                      <w:szCs w:val="14"/>
                    </w:rPr>
                  </w:pPr>
                </w:p>
              </w:tc>
            </w:tr>
          </w:tbl>
          <w:p w14:paraId="01C37553" w14:textId="77777777" w:rsidR="00810FBB" w:rsidRPr="002B4E56" w:rsidRDefault="00810FBB" w:rsidP="00170A32">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56" w14:textId="77777777" w:rsidTr="00170A32">
              <w:trPr>
                <w:trHeight w:hRule="exact" w:val="216"/>
                <w:tblCellSpacing w:w="14" w:type="dxa"/>
              </w:trPr>
              <w:tc>
                <w:tcPr>
                  <w:tcW w:w="601" w:type="dxa"/>
                  <w:vAlign w:val="center"/>
                </w:tcPr>
                <w:p w14:paraId="01C37554" w14:textId="13E54334"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55" w14:textId="77777777" w:rsidR="00810FBB" w:rsidRPr="002B4E56" w:rsidRDefault="00810FBB" w:rsidP="00170A32">
                  <w:pPr>
                    <w:jc w:val="center"/>
                    <w:rPr>
                      <w:rFonts w:eastAsia="Times New Roman"/>
                      <w:color w:val="000000"/>
                      <w:sz w:val="14"/>
                      <w:szCs w:val="14"/>
                    </w:rPr>
                  </w:pPr>
                </w:p>
              </w:tc>
            </w:tr>
            <w:tr w:rsidR="00810FBB" w:rsidRPr="002B4E56" w14:paraId="01C37559" w14:textId="77777777" w:rsidTr="00170A32">
              <w:trPr>
                <w:trHeight w:hRule="exact" w:val="216"/>
                <w:tblCellSpacing w:w="14" w:type="dxa"/>
              </w:trPr>
              <w:tc>
                <w:tcPr>
                  <w:tcW w:w="601" w:type="dxa"/>
                  <w:vAlign w:val="center"/>
                </w:tcPr>
                <w:p w14:paraId="01C37557" w14:textId="3389EA9F"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58" w14:textId="77777777" w:rsidR="00810FBB" w:rsidRPr="002B4E56" w:rsidRDefault="00810FBB" w:rsidP="00170A32">
                  <w:pPr>
                    <w:rPr>
                      <w:rFonts w:eastAsia="Times New Roman"/>
                      <w:color w:val="000000"/>
                      <w:sz w:val="14"/>
                      <w:szCs w:val="14"/>
                    </w:rPr>
                  </w:pPr>
                </w:p>
              </w:tc>
            </w:tr>
          </w:tbl>
          <w:p w14:paraId="01C3755A" w14:textId="77777777" w:rsidR="00810FBB" w:rsidRPr="002B4E56" w:rsidRDefault="00810FBB" w:rsidP="00170A32">
            <w:pPr>
              <w:spacing w:line="360" w:lineRule="auto"/>
              <w:jc w:val="center"/>
              <w:rPr>
                <w:rFonts w:eastAsia="Times New Roman"/>
                <w:color w:val="000000"/>
                <w:sz w:val="14"/>
                <w:szCs w:val="14"/>
              </w:rPr>
            </w:pPr>
          </w:p>
        </w:tc>
        <w:tc>
          <w:tcPr>
            <w:tcW w:w="3780" w:type="dxa"/>
            <w:vMerge w:val="restart"/>
            <w:tcBorders>
              <w:top w:val="single" w:sz="12" w:space="0" w:color="auto"/>
            </w:tcBorders>
          </w:tcPr>
          <w:p w14:paraId="01C3755B" w14:textId="77777777" w:rsidR="00810FBB" w:rsidRPr="00CF2D28" w:rsidRDefault="00810FBB" w:rsidP="00170A32">
            <w:pPr>
              <w:spacing w:line="360" w:lineRule="auto"/>
              <w:rPr>
                <w:sz w:val="18"/>
                <w:szCs w:val="20"/>
              </w:rPr>
            </w:pPr>
          </w:p>
        </w:tc>
        <w:tc>
          <w:tcPr>
            <w:tcW w:w="720" w:type="dxa"/>
            <w:vMerge w:val="restart"/>
            <w:tcBorders>
              <w:top w:val="single" w:sz="12" w:space="0" w:color="auto"/>
              <w:right w:val="single" w:sz="12" w:space="0" w:color="000000" w:themeColor="text1"/>
            </w:tcBorders>
          </w:tcPr>
          <w:p w14:paraId="01C3755C" w14:textId="77777777" w:rsidR="00810FBB" w:rsidRPr="00CF2D28" w:rsidRDefault="00810FBB" w:rsidP="00170A32">
            <w:pPr>
              <w:spacing w:line="360" w:lineRule="auto"/>
              <w:rPr>
                <w:sz w:val="18"/>
                <w:szCs w:val="20"/>
              </w:rPr>
            </w:pPr>
          </w:p>
        </w:tc>
      </w:tr>
      <w:tr w:rsidR="00810FBB" w:rsidRPr="002B4E56" w14:paraId="01C37566" w14:textId="77777777" w:rsidTr="00030736">
        <w:trPr>
          <w:trHeight w:val="472"/>
        </w:trPr>
        <w:tc>
          <w:tcPr>
            <w:tcW w:w="1998" w:type="dxa"/>
            <w:tcBorders>
              <w:top w:val="dashed" w:sz="4" w:space="0" w:color="auto"/>
              <w:left w:val="single" w:sz="12" w:space="0" w:color="000000" w:themeColor="text1"/>
              <w:bottom w:val="single" w:sz="12" w:space="0" w:color="auto"/>
            </w:tcBorders>
          </w:tcPr>
          <w:p w14:paraId="01C3755E" w14:textId="77777777" w:rsidR="00810FBB" w:rsidRPr="00CF2D28" w:rsidRDefault="00810FBB" w:rsidP="00170A32">
            <w:pPr>
              <w:spacing w:line="360" w:lineRule="auto"/>
              <w:rPr>
                <w:sz w:val="18"/>
                <w:szCs w:val="20"/>
              </w:rPr>
            </w:pPr>
          </w:p>
        </w:tc>
        <w:tc>
          <w:tcPr>
            <w:tcW w:w="2520" w:type="dxa"/>
            <w:vMerge/>
            <w:tcBorders>
              <w:bottom w:val="single" w:sz="12" w:space="0" w:color="auto"/>
            </w:tcBorders>
          </w:tcPr>
          <w:p w14:paraId="01C3755F" w14:textId="77777777" w:rsidR="00810FBB" w:rsidRPr="00CF2D28" w:rsidRDefault="00810FBB" w:rsidP="00170A32">
            <w:pPr>
              <w:spacing w:line="360" w:lineRule="auto"/>
              <w:rPr>
                <w:sz w:val="18"/>
                <w:szCs w:val="20"/>
              </w:rPr>
            </w:pPr>
          </w:p>
        </w:tc>
        <w:tc>
          <w:tcPr>
            <w:tcW w:w="810" w:type="dxa"/>
            <w:vMerge/>
            <w:tcBorders>
              <w:bottom w:val="single" w:sz="12" w:space="0" w:color="auto"/>
            </w:tcBorders>
          </w:tcPr>
          <w:p w14:paraId="01C37560" w14:textId="77777777" w:rsidR="00810FBB" w:rsidRPr="00CF2D28" w:rsidRDefault="00810FBB" w:rsidP="00170A32">
            <w:pPr>
              <w:spacing w:before="120" w:line="360" w:lineRule="auto"/>
              <w:jc w:val="right"/>
              <w:rPr>
                <w:rFonts w:eastAsia="Times New Roman"/>
                <w:color w:val="000000"/>
                <w:sz w:val="18"/>
                <w:szCs w:val="20"/>
              </w:rPr>
            </w:pPr>
          </w:p>
        </w:tc>
        <w:tc>
          <w:tcPr>
            <w:tcW w:w="1080" w:type="dxa"/>
            <w:vMerge/>
            <w:tcBorders>
              <w:bottom w:val="single" w:sz="12" w:space="0" w:color="auto"/>
            </w:tcBorders>
            <w:vAlign w:val="center"/>
          </w:tcPr>
          <w:p w14:paraId="01C37561" w14:textId="77777777" w:rsidR="00810FBB" w:rsidRPr="002B4E56" w:rsidRDefault="00810FBB" w:rsidP="00170A32">
            <w:pPr>
              <w:spacing w:before="120" w:line="360" w:lineRule="auto"/>
              <w:jc w:val="right"/>
              <w:rPr>
                <w:rFonts w:eastAsia="Times New Roman"/>
                <w:color w:val="000000"/>
                <w:sz w:val="14"/>
                <w:szCs w:val="14"/>
              </w:rPr>
            </w:pPr>
          </w:p>
        </w:tc>
        <w:tc>
          <w:tcPr>
            <w:tcW w:w="1170" w:type="dxa"/>
            <w:vMerge/>
            <w:tcBorders>
              <w:bottom w:val="single" w:sz="12" w:space="0" w:color="auto"/>
            </w:tcBorders>
            <w:vAlign w:val="center"/>
          </w:tcPr>
          <w:p w14:paraId="01C37562" w14:textId="77777777" w:rsidR="00810FBB" w:rsidRPr="002B4E56" w:rsidRDefault="00810FBB" w:rsidP="00170A32">
            <w:pPr>
              <w:spacing w:line="360" w:lineRule="auto"/>
              <w:jc w:val="right"/>
              <w:rPr>
                <w:rFonts w:eastAsia="Times New Roman"/>
                <w:color w:val="000000"/>
                <w:sz w:val="14"/>
                <w:szCs w:val="14"/>
              </w:rPr>
            </w:pPr>
          </w:p>
        </w:tc>
        <w:tc>
          <w:tcPr>
            <w:tcW w:w="1080" w:type="dxa"/>
            <w:vMerge/>
            <w:tcBorders>
              <w:bottom w:val="single" w:sz="12" w:space="0" w:color="auto"/>
            </w:tcBorders>
            <w:vAlign w:val="center"/>
          </w:tcPr>
          <w:p w14:paraId="01C37563" w14:textId="77777777" w:rsidR="00810FBB" w:rsidRPr="002B4E56" w:rsidRDefault="00810FBB" w:rsidP="00170A32">
            <w:pPr>
              <w:spacing w:line="360" w:lineRule="auto"/>
              <w:jc w:val="right"/>
              <w:rPr>
                <w:rFonts w:eastAsia="Times New Roman"/>
                <w:color w:val="000000"/>
                <w:sz w:val="14"/>
                <w:szCs w:val="14"/>
              </w:rPr>
            </w:pPr>
          </w:p>
        </w:tc>
        <w:tc>
          <w:tcPr>
            <w:tcW w:w="3780" w:type="dxa"/>
            <w:vMerge/>
            <w:tcBorders>
              <w:bottom w:val="single" w:sz="12" w:space="0" w:color="auto"/>
            </w:tcBorders>
          </w:tcPr>
          <w:p w14:paraId="01C37564" w14:textId="77777777" w:rsidR="00810FBB" w:rsidRPr="00CF2D28" w:rsidRDefault="00810FBB" w:rsidP="00170A32">
            <w:pPr>
              <w:spacing w:line="360" w:lineRule="auto"/>
              <w:rPr>
                <w:sz w:val="18"/>
                <w:szCs w:val="20"/>
              </w:rPr>
            </w:pPr>
          </w:p>
        </w:tc>
        <w:tc>
          <w:tcPr>
            <w:tcW w:w="720" w:type="dxa"/>
            <w:vMerge/>
            <w:tcBorders>
              <w:bottom w:val="single" w:sz="12" w:space="0" w:color="auto"/>
              <w:right w:val="single" w:sz="12" w:space="0" w:color="000000" w:themeColor="text1"/>
            </w:tcBorders>
          </w:tcPr>
          <w:p w14:paraId="01C37565" w14:textId="77777777" w:rsidR="00810FBB" w:rsidRPr="00CF2D28" w:rsidRDefault="00810FBB" w:rsidP="00170A32">
            <w:pPr>
              <w:spacing w:line="360" w:lineRule="auto"/>
              <w:rPr>
                <w:sz w:val="18"/>
                <w:szCs w:val="20"/>
              </w:rPr>
            </w:pPr>
          </w:p>
        </w:tc>
      </w:tr>
      <w:tr w:rsidR="00810FBB" w:rsidRPr="002B4E56" w14:paraId="01C37584" w14:textId="77777777" w:rsidTr="00030736">
        <w:trPr>
          <w:trHeight w:val="473"/>
        </w:trPr>
        <w:tc>
          <w:tcPr>
            <w:tcW w:w="1998" w:type="dxa"/>
            <w:tcBorders>
              <w:top w:val="single" w:sz="12" w:space="0" w:color="auto"/>
              <w:left w:val="single" w:sz="12" w:space="0" w:color="000000" w:themeColor="text1"/>
              <w:bottom w:val="dashed" w:sz="4" w:space="0" w:color="auto"/>
            </w:tcBorders>
          </w:tcPr>
          <w:p w14:paraId="01C37567" w14:textId="77777777" w:rsidR="00810FBB" w:rsidRPr="00CF2D28" w:rsidRDefault="00810FBB" w:rsidP="00170A32">
            <w:pPr>
              <w:spacing w:line="360" w:lineRule="auto"/>
              <w:rPr>
                <w:sz w:val="18"/>
                <w:szCs w:val="20"/>
              </w:rPr>
            </w:pPr>
          </w:p>
        </w:tc>
        <w:tc>
          <w:tcPr>
            <w:tcW w:w="2520" w:type="dxa"/>
            <w:vMerge w:val="restart"/>
            <w:tcBorders>
              <w:top w:val="single" w:sz="12" w:space="0" w:color="auto"/>
            </w:tcBorders>
          </w:tcPr>
          <w:p w14:paraId="01C37568" w14:textId="77777777" w:rsidR="00810FBB" w:rsidRPr="00CF2D28" w:rsidRDefault="00810FBB" w:rsidP="00170A32">
            <w:pPr>
              <w:spacing w:line="360" w:lineRule="auto"/>
              <w:rPr>
                <w:sz w:val="18"/>
                <w:szCs w:val="20"/>
              </w:rPr>
            </w:pPr>
          </w:p>
        </w:tc>
        <w:tc>
          <w:tcPr>
            <w:tcW w:w="810" w:type="dxa"/>
            <w:vMerge w:val="restart"/>
            <w:tcBorders>
              <w:top w:val="single" w:sz="12" w:space="0" w:color="auto"/>
            </w:tcBorders>
          </w:tcPr>
          <w:p w14:paraId="01C37569" w14:textId="77777777" w:rsidR="00810FBB" w:rsidRPr="00CF2D28" w:rsidRDefault="00810FBB" w:rsidP="00170A32">
            <w:pPr>
              <w:ind w:left="-54"/>
              <w:jc w:val="right"/>
              <w:rPr>
                <w:rFonts w:eastAsia="Times New Roman"/>
                <w:color w:val="000000"/>
                <w:sz w:val="18"/>
                <w:szCs w:val="20"/>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6C" w14:textId="77777777" w:rsidTr="00170A32">
              <w:trPr>
                <w:trHeight w:hRule="exact" w:val="216"/>
                <w:tblCellSpacing w:w="14" w:type="dxa"/>
              </w:trPr>
              <w:tc>
                <w:tcPr>
                  <w:tcW w:w="601" w:type="dxa"/>
                  <w:vAlign w:val="center"/>
                </w:tcPr>
                <w:p w14:paraId="01C3756A" w14:textId="344F826F"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6B" w14:textId="77777777" w:rsidR="00810FBB" w:rsidRPr="002B4E56" w:rsidRDefault="00810FBB" w:rsidP="00170A32">
                  <w:pPr>
                    <w:jc w:val="center"/>
                    <w:rPr>
                      <w:rFonts w:eastAsia="Times New Roman"/>
                      <w:color w:val="000000"/>
                      <w:sz w:val="14"/>
                      <w:szCs w:val="14"/>
                    </w:rPr>
                  </w:pPr>
                </w:p>
              </w:tc>
            </w:tr>
            <w:tr w:rsidR="00810FBB" w:rsidRPr="002B4E56" w14:paraId="01C3756F" w14:textId="77777777" w:rsidTr="00170A32">
              <w:trPr>
                <w:trHeight w:hRule="exact" w:val="216"/>
                <w:tblCellSpacing w:w="14" w:type="dxa"/>
              </w:trPr>
              <w:tc>
                <w:tcPr>
                  <w:tcW w:w="601" w:type="dxa"/>
                  <w:vAlign w:val="center"/>
                </w:tcPr>
                <w:p w14:paraId="01C3756D" w14:textId="638B1A57" w:rsidR="00810FBB" w:rsidRPr="002B4E56" w:rsidRDefault="001A7430" w:rsidP="00170A32">
                  <w:pPr>
                    <w:ind w:left="-54"/>
                    <w:jc w:val="right"/>
                    <w:rPr>
                      <w:rFonts w:eastAsia="Times New Roman"/>
                      <w:color w:val="000000"/>
                      <w:sz w:val="14"/>
                      <w:szCs w:val="14"/>
                    </w:rPr>
                  </w:pPr>
                  <w:proofErr w:type="spellStart"/>
                  <w:r w:rsidRPr="002B4E56">
                    <w:rPr>
                      <w:rFonts w:eastAsia="Times New Roman"/>
                      <w:color w:val="000000"/>
                      <w:sz w:val="14"/>
                      <w:szCs w:val="14"/>
                    </w:rPr>
                    <w:t>N</w:t>
                  </w:r>
                  <w:r>
                    <w:rPr>
                      <w:rFonts w:eastAsia="Times New Roman"/>
                      <w:color w:val="000000"/>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6E" w14:textId="77777777" w:rsidR="00810FBB" w:rsidRPr="002B4E56" w:rsidRDefault="00810FBB" w:rsidP="00170A32">
                  <w:pPr>
                    <w:rPr>
                      <w:rFonts w:eastAsia="Times New Roman"/>
                      <w:color w:val="000000"/>
                      <w:sz w:val="14"/>
                      <w:szCs w:val="14"/>
                    </w:rPr>
                  </w:pPr>
                </w:p>
              </w:tc>
            </w:tr>
            <w:tr w:rsidR="001A7430" w:rsidRPr="002B4E56" w14:paraId="01C37572" w14:textId="77777777" w:rsidTr="00170A32">
              <w:trPr>
                <w:trHeight w:hRule="exact" w:val="216"/>
                <w:tblCellSpacing w:w="14" w:type="dxa"/>
              </w:trPr>
              <w:tc>
                <w:tcPr>
                  <w:tcW w:w="601" w:type="dxa"/>
                  <w:vAlign w:val="center"/>
                </w:tcPr>
                <w:p w14:paraId="01C37570" w14:textId="546D3175" w:rsidR="001A7430" w:rsidRPr="002B4E56" w:rsidRDefault="001A7430" w:rsidP="001A7430">
                  <w:pPr>
                    <w:jc w:val="right"/>
                    <w:rPr>
                      <w:rFonts w:eastAsia="Times New Roman"/>
                      <w:color w:val="000000"/>
                      <w:sz w:val="14"/>
                      <w:szCs w:val="14"/>
                    </w:rPr>
                  </w:pPr>
                  <w:r>
                    <w:rPr>
                      <w:rFonts w:eastAsia="Times New Roman"/>
                      <w:color w:val="000000"/>
                      <w:sz w:val="14"/>
                      <w:szCs w:val="14"/>
                    </w:rPr>
                    <w:t>Ja</w:t>
                  </w:r>
                  <w:r w:rsidRPr="002B4E56">
                    <w:rPr>
                      <w:rFonts w:eastAsia="Times New Roman"/>
                      <w:color w:val="000000"/>
                      <w:sz w:val="14"/>
                      <w:szCs w:val="14"/>
                    </w:rPr>
                    <w:t xml:space="preserve">, </w:t>
                  </w:r>
                  <w:proofErr w:type="spellStart"/>
                  <w:r w:rsidRPr="002B4E56">
                    <w:rPr>
                      <w:rFonts w:eastAsia="Times New Roman"/>
                      <w:color w:val="000000"/>
                      <w:sz w:val="14"/>
                      <w:szCs w:val="14"/>
                    </w:rPr>
                    <w:t>b</w:t>
                  </w:r>
                  <w:r>
                    <w:rPr>
                      <w:rFonts w:eastAsia="Times New Roman"/>
                      <w:color w:val="000000"/>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71" w14:textId="77777777" w:rsidR="001A7430" w:rsidRPr="002B4E56" w:rsidRDefault="001A7430" w:rsidP="001A7430">
                  <w:pPr>
                    <w:jc w:val="center"/>
                    <w:rPr>
                      <w:rFonts w:eastAsia="Times New Roman"/>
                      <w:color w:val="000000"/>
                      <w:sz w:val="14"/>
                      <w:szCs w:val="14"/>
                    </w:rPr>
                  </w:pPr>
                </w:p>
              </w:tc>
            </w:tr>
          </w:tbl>
          <w:p w14:paraId="01C37573" w14:textId="4DB32737" w:rsidR="00810FBB" w:rsidRPr="002B4E56" w:rsidRDefault="001A7430" w:rsidP="00170A32">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76" w14:textId="77777777" w:rsidTr="00170A32">
              <w:trPr>
                <w:trHeight w:hRule="exact" w:val="216"/>
                <w:tblCellSpacing w:w="14" w:type="dxa"/>
              </w:trPr>
              <w:tc>
                <w:tcPr>
                  <w:tcW w:w="601" w:type="dxa"/>
                  <w:vAlign w:val="center"/>
                </w:tcPr>
                <w:p w14:paraId="01C37574" w14:textId="0D13A2D3"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75" w14:textId="77777777" w:rsidR="00810FBB" w:rsidRPr="002B4E56" w:rsidRDefault="00810FBB" w:rsidP="00170A32">
                  <w:pPr>
                    <w:jc w:val="center"/>
                    <w:rPr>
                      <w:rFonts w:eastAsia="Times New Roman"/>
                      <w:color w:val="000000"/>
                      <w:sz w:val="14"/>
                      <w:szCs w:val="14"/>
                    </w:rPr>
                  </w:pPr>
                </w:p>
              </w:tc>
            </w:tr>
            <w:tr w:rsidR="00810FBB" w:rsidRPr="002B4E56" w14:paraId="01C37579" w14:textId="77777777" w:rsidTr="00170A32">
              <w:trPr>
                <w:trHeight w:hRule="exact" w:val="216"/>
                <w:tblCellSpacing w:w="14" w:type="dxa"/>
              </w:trPr>
              <w:tc>
                <w:tcPr>
                  <w:tcW w:w="601" w:type="dxa"/>
                  <w:vAlign w:val="center"/>
                </w:tcPr>
                <w:p w14:paraId="01C37577" w14:textId="1F27D044"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78" w14:textId="77777777" w:rsidR="00810FBB" w:rsidRPr="002B4E56" w:rsidRDefault="00810FBB" w:rsidP="00170A32">
                  <w:pPr>
                    <w:rPr>
                      <w:rFonts w:eastAsia="Times New Roman"/>
                      <w:color w:val="000000"/>
                      <w:sz w:val="14"/>
                      <w:szCs w:val="14"/>
                    </w:rPr>
                  </w:pPr>
                </w:p>
              </w:tc>
            </w:tr>
          </w:tbl>
          <w:p w14:paraId="01C3757A" w14:textId="77777777" w:rsidR="00810FBB" w:rsidRPr="002B4E56" w:rsidRDefault="00810FBB" w:rsidP="00170A32">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810FBB" w:rsidRPr="002B4E56" w14:paraId="01C3757D" w14:textId="77777777" w:rsidTr="00170A32">
              <w:trPr>
                <w:trHeight w:hRule="exact" w:val="216"/>
                <w:tblCellSpacing w:w="14" w:type="dxa"/>
              </w:trPr>
              <w:tc>
                <w:tcPr>
                  <w:tcW w:w="601" w:type="dxa"/>
                  <w:vAlign w:val="center"/>
                </w:tcPr>
                <w:p w14:paraId="01C3757B" w14:textId="5C5883BF" w:rsidR="00810FBB" w:rsidRPr="002B4E56" w:rsidRDefault="001A7430" w:rsidP="00170A32">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7C" w14:textId="77777777" w:rsidR="00810FBB" w:rsidRPr="002B4E56" w:rsidRDefault="00810FBB" w:rsidP="00170A32">
                  <w:pPr>
                    <w:jc w:val="center"/>
                    <w:rPr>
                      <w:rFonts w:eastAsia="Times New Roman"/>
                      <w:color w:val="000000"/>
                      <w:sz w:val="14"/>
                      <w:szCs w:val="14"/>
                    </w:rPr>
                  </w:pPr>
                </w:p>
              </w:tc>
            </w:tr>
            <w:tr w:rsidR="00810FBB" w:rsidRPr="002B4E56" w14:paraId="01C37580" w14:textId="77777777" w:rsidTr="00170A32">
              <w:trPr>
                <w:trHeight w:hRule="exact" w:val="216"/>
                <w:tblCellSpacing w:w="14" w:type="dxa"/>
              </w:trPr>
              <w:tc>
                <w:tcPr>
                  <w:tcW w:w="601" w:type="dxa"/>
                  <w:vAlign w:val="center"/>
                </w:tcPr>
                <w:p w14:paraId="01C3757E" w14:textId="181E50D4" w:rsidR="00810FBB" w:rsidRPr="002B4E56" w:rsidRDefault="001A7430" w:rsidP="00170A32">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7F" w14:textId="77777777" w:rsidR="00810FBB" w:rsidRPr="002B4E56" w:rsidRDefault="00810FBB" w:rsidP="00170A32">
                  <w:pPr>
                    <w:rPr>
                      <w:rFonts w:eastAsia="Times New Roman"/>
                      <w:color w:val="000000"/>
                      <w:sz w:val="14"/>
                      <w:szCs w:val="14"/>
                    </w:rPr>
                  </w:pPr>
                </w:p>
              </w:tc>
            </w:tr>
          </w:tbl>
          <w:p w14:paraId="01C37581" w14:textId="77777777" w:rsidR="00810FBB" w:rsidRPr="002B4E56" w:rsidRDefault="00810FBB" w:rsidP="00170A32">
            <w:pPr>
              <w:spacing w:line="360" w:lineRule="auto"/>
              <w:jc w:val="center"/>
              <w:rPr>
                <w:rFonts w:eastAsia="Times New Roman"/>
                <w:color w:val="000000"/>
                <w:sz w:val="14"/>
                <w:szCs w:val="14"/>
              </w:rPr>
            </w:pPr>
          </w:p>
        </w:tc>
        <w:tc>
          <w:tcPr>
            <w:tcW w:w="3780" w:type="dxa"/>
            <w:vMerge w:val="restart"/>
            <w:tcBorders>
              <w:top w:val="single" w:sz="12" w:space="0" w:color="auto"/>
            </w:tcBorders>
          </w:tcPr>
          <w:p w14:paraId="01C37582" w14:textId="77777777" w:rsidR="00810FBB" w:rsidRPr="00CF2D28" w:rsidRDefault="00810FBB" w:rsidP="00170A32">
            <w:pPr>
              <w:spacing w:line="360" w:lineRule="auto"/>
              <w:rPr>
                <w:sz w:val="18"/>
                <w:szCs w:val="20"/>
              </w:rPr>
            </w:pPr>
          </w:p>
        </w:tc>
        <w:tc>
          <w:tcPr>
            <w:tcW w:w="720" w:type="dxa"/>
            <w:vMerge w:val="restart"/>
            <w:tcBorders>
              <w:top w:val="single" w:sz="12" w:space="0" w:color="auto"/>
              <w:right w:val="single" w:sz="12" w:space="0" w:color="000000" w:themeColor="text1"/>
            </w:tcBorders>
          </w:tcPr>
          <w:p w14:paraId="01C37583" w14:textId="77777777" w:rsidR="00810FBB" w:rsidRPr="00CF2D28" w:rsidRDefault="00810FBB" w:rsidP="00170A32">
            <w:pPr>
              <w:spacing w:line="360" w:lineRule="auto"/>
              <w:rPr>
                <w:sz w:val="18"/>
                <w:szCs w:val="20"/>
              </w:rPr>
            </w:pPr>
          </w:p>
        </w:tc>
      </w:tr>
      <w:tr w:rsidR="00810FBB" w:rsidRPr="002B4E56" w14:paraId="01C3758D" w14:textId="77777777" w:rsidTr="00030736">
        <w:trPr>
          <w:trHeight w:val="472"/>
        </w:trPr>
        <w:tc>
          <w:tcPr>
            <w:tcW w:w="1998" w:type="dxa"/>
            <w:tcBorders>
              <w:top w:val="dashed" w:sz="4" w:space="0" w:color="auto"/>
              <w:left w:val="single" w:sz="12" w:space="0" w:color="000000" w:themeColor="text1"/>
              <w:bottom w:val="single" w:sz="12" w:space="0" w:color="auto"/>
            </w:tcBorders>
          </w:tcPr>
          <w:p w14:paraId="01C37585" w14:textId="77777777" w:rsidR="00810FBB" w:rsidRPr="00CF2D28" w:rsidRDefault="00810FBB" w:rsidP="00170A32">
            <w:pPr>
              <w:spacing w:line="360" w:lineRule="auto"/>
              <w:rPr>
                <w:sz w:val="18"/>
                <w:szCs w:val="20"/>
              </w:rPr>
            </w:pPr>
          </w:p>
        </w:tc>
        <w:tc>
          <w:tcPr>
            <w:tcW w:w="2520" w:type="dxa"/>
            <w:vMerge/>
            <w:tcBorders>
              <w:bottom w:val="single" w:sz="12" w:space="0" w:color="auto"/>
            </w:tcBorders>
          </w:tcPr>
          <w:p w14:paraId="01C37586" w14:textId="77777777" w:rsidR="00810FBB" w:rsidRPr="00CF2D28" w:rsidRDefault="00810FBB" w:rsidP="00170A32">
            <w:pPr>
              <w:spacing w:line="360" w:lineRule="auto"/>
              <w:rPr>
                <w:sz w:val="18"/>
                <w:szCs w:val="20"/>
              </w:rPr>
            </w:pPr>
          </w:p>
        </w:tc>
        <w:tc>
          <w:tcPr>
            <w:tcW w:w="810" w:type="dxa"/>
            <w:vMerge/>
            <w:tcBorders>
              <w:bottom w:val="single" w:sz="12" w:space="0" w:color="auto"/>
            </w:tcBorders>
          </w:tcPr>
          <w:p w14:paraId="01C37587" w14:textId="77777777" w:rsidR="00810FBB" w:rsidRPr="00CF2D28" w:rsidRDefault="00810FBB" w:rsidP="00170A32">
            <w:pPr>
              <w:spacing w:before="120" w:line="360" w:lineRule="auto"/>
              <w:jc w:val="right"/>
              <w:rPr>
                <w:rFonts w:eastAsia="Times New Roman"/>
                <w:color w:val="000000"/>
                <w:sz w:val="18"/>
                <w:szCs w:val="20"/>
              </w:rPr>
            </w:pPr>
          </w:p>
        </w:tc>
        <w:tc>
          <w:tcPr>
            <w:tcW w:w="1080" w:type="dxa"/>
            <w:vMerge/>
            <w:tcBorders>
              <w:bottom w:val="single" w:sz="12" w:space="0" w:color="auto"/>
            </w:tcBorders>
            <w:vAlign w:val="center"/>
          </w:tcPr>
          <w:p w14:paraId="01C37588" w14:textId="77777777" w:rsidR="00810FBB" w:rsidRPr="002B4E56" w:rsidRDefault="00810FBB" w:rsidP="00170A32">
            <w:pPr>
              <w:spacing w:before="120" w:line="360" w:lineRule="auto"/>
              <w:jc w:val="right"/>
              <w:rPr>
                <w:rFonts w:eastAsia="Times New Roman"/>
                <w:color w:val="000000"/>
                <w:sz w:val="14"/>
                <w:szCs w:val="14"/>
              </w:rPr>
            </w:pPr>
          </w:p>
        </w:tc>
        <w:tc>
          <w:tcPr>
            <w:tcW w:w="1170" w:type="dxa"/>
            <w:vMerge/>
            <w:tcBorders>
              <w:bottom w:val="single" w:sz="12" w:space="0" w:color="auto"/>
            </w:tcBorders>
            <w:vAlign w:val="center"/>
          </w:tcPr>
          <w:p w14:paraId="01C37589" w14:textId="77777777" w:rsidR="00810FBB" w:rsidRPr="002B4E56" w:rsidRDefault="00810FBB" w:rsidP="00170A32">
            <w:pPr>
              <w:spacing w:line="360" w:lineRule="auto"/>
              <w:jc w:val="right"/>
              <w:rPr>
                <w:rFonts w:eastAsia="Times New Roman"/>
                <w:color w:val="000000"/>
                <w:sz w:val="14"/>
                <w:szCs w:val="14"/>
              </w:rPr>
            </w:pPr>
          </w:p>
        </w:tc>
        <w:tc>
          <w:tcPr>
            <w:tcW w:w="1080" w:type="dxa"/>
            <w:vMerge/>
            <w:tcBorders>
              <w:bottom w:val="single" w:sz="12" w:space="0" w:color="auto"/>
            </w:tcBorders>
            <w:vAlign w:val="center"/>
          </w:tcPr>
          <w:p w14:paraId="01C3758A" w14:textId="77777777" w:rsidR="00810FBB" w:rsidRPr="002B4E56" w:rsidRDefault="00810FBB" w:rsidP="00170A32">
            <w:pPr>
              <w:spacing w:line="360" w:lineRule="auto"/>
              <w:jc w:val="right"/>
              <w:rPr>
                <w:rFonts w:eastAsia="Times New Roman"/>
                <w:color w:val="000000"/>
                <w:sz w:val="14"/>
                <w:szCs w:val="14"/>
              </w:rPr>
            </w:pPr>
          </w:p>
        </w:tc>
        <w:tc>
          <w:tcPr>
            <w:tcW w:w="3780" w:type="dxa"/>
            <w:vMerge/>
            <w:tcBorders>
              <w:bottom w:val="single" w:sz="12" w:space="0" w:color="auto"/>
            </w:tcBorders>
          </w:tcPr>
          <w:p w14:paraId="01C3758B" w14:textId="77777777" w:rsidR="00810FBB" w:rsidRPr="00CF2D28" w:rsidRDefault="00810FBB" w:rsidP="00170A32">
            <w:pPr>
              <w:spacing w:line="360" w:lineRule="auto"/>
              <w:rPr>
                <w:sz w:val="18"/>
                <w:szCs w:val="20"/>
              </w:rPr>
            </w:pPr>
          </w:p>
        </w:tc>
        <w:tc>
          <w:tcPr>
            <w:tcW w:w="720" w:type="dxa"/>
            <w:vMerge/>
            <w:tcBorders>
              <w:bottom w:val="single" w:sz="12" w:space="0" w:color="auto"/>
              <w:right w:val="single" w:sz="12" w:space="0" w:color="000000" w:themeColor="text1"/>
            </w:tcBorders>
          </w:tcPr>
          <w:p w14:paraId="01C3758C" w14:textId="77777777" w:rsidR="00810FBB" w:rsidRPr="00CF2D28" w:rsidRDefault="00810FBB" w:rsidP="00170A32">
            <w:pPr>
              <w:spacing w:line="360" w:lineRule="auto"/>
              <w:rPr>
                <w:sz w:val="18"/>
                <w:szCs w:val="20"/>
              </w:rPr>
            </w:pPr>
          </w:p>
        </w:tc>
      </w:tr>
      <w:tr w:rsidR="00344B22" w:rsidRPr="002B4E56" w14:paraId="01C375AB" w14:textId="77777777" w:rsidTr="00030736">
        <w:trPr>
          <w:trHeight w:val="473"/>
        </w:trPr>
        <w:tc>
          <w:tcPr>
            <w:tcW w:w="1998" w:type="dxa"/>
            <w:tcBorders>
              <w:top w:val="single" w:sz="12" w:space="0" w:color="auto"/>
              <w:left w:val="single" w:sz="12" w:space="0" w:color="000000" w:themeColor="text1"/>
              <w:bottom w:val="dashed" w:sz="4" w:space="0" w:color="auto"/>
            </w:tcBorders>
          </w:tcPr>
          <w:p w14:paraId="01C3758E" w14:textId="77777777" w:rsidR="00344B22" w:rsidRPr="00CF2D28" w:rsidRDefault="00344B22" w:rsidP="00170A32">
            <w:pPr>
              <w:spacing w:line="360" w:lineRule="auto"/>
              <w:rPr>
                <w:sz w:val="18"/>
                <w:szCs w:val="20"/>
              </w:rPr>
            </w:pPr>
          </w:p>
        </w:tc>
        <w:tc>
          <w:tcPr>
            <w:tcW w:w="2520" w:type="dxa"/>
            <w:vMerge w:val="restart"/>
            <w:tcBorders>
              <w:top w:val="single" w:sz="12" w:space="0" w:color="auto"/>
            </w:tcBorders>
          </w:tcPr>
          <w:p w14:paraId="01C3758F" w14:textId="77777777" w:rsidR="00344B22" w:rsidRPr="00CF2D28" w:rsidRDefault="00344B22" w:rsidP="00170A32">
            <w:pPr>
              <w:spacing w:line="360" w:lineRule="auto"/>
              <w:rPr>
                <w:sz w:val="18"/>
                <w:szCs w:val="20"/>
              </w:rPr>
            </w:pPr>
          </w:p>
        </w:tc>
        <w:tc>
          <w:tcPr>
            <w:tcW w:w="810" w:type="dxa"/>
            <w:vMerge w:val="restart"/>
            <w:tcBorders>
              <w:top w:val="single" w:sz="12" w:space="0" w:color="auto"/>
            </w:tcBorders>
          </w:tcPr>
          <w:p w14:paraId="01C37590" w14:textId="77777777" w:rsidR="00344B22" w:rsidRPr="00CF2D28" w:rsidRDefault="00344B22" w:rsidP="00170A32">
            <w:pPr>
              <w:ind w:left="-54"/>
              <w:jc w:val="right"/>
              <w:rPr>
                <w:rFonts w:eastAsia="Times New Roman"/>
                <w:color w:val="000000"/>
                <w:sz w:val="18"/>
                <w:szCs w:val="20"/>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344B22" w:rsidRPr="002B4E56" w14:paraId="01C37593" w14:textId="77777777" w:rsidTr="00A94F83">
              <w:trPr>
                <w:trHeight w:hRule="exact" w:val="216"/>
                <w:tblCellSpacing w:w="14" w:type="dxa"/>
              </w:trPr>
              <w:tc>
                <w:tcPr>
                  <w:tcW w:w="601" w:type="dxa"/>
                  <w:vAlign w:val="center"/>
                </w:tcPr>
                <w:p w14:paraId="01C37591" w14:textId="143E65AF" w:rsidR="00344B22" w:rsidRPr="002B4E56" w:rsidRDefault="001A7430" w:rsidP="00A94F83">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92" w14:textId="77777777" w:rsidR="00344B22" w:rsidRPr="002B4E56" w:rsidRDefault="00344B22" w:rsidP="00A94F83">
                  <w:pPr>
                    <w:jc w:val="center"/>
                    <w:rPr>
                      <w:rFonts w:eastAsia="Times New Roman"/>
                      <w:color w:val="000000"/>
                      <w:sz w:val="14"/>
                      <w:szCs w:val="14"/>
                    </w:rPr>
                  </w:pPr>
                </w:p>
              </w:tc>
            </w:tr>
            <w:tr w:rsidR="00344B22" w:rsidRPr="002B4E56" w14:paraId="01C37596" w14:textId="77777777" w:rsidTr="00A94F83">
              <w:trPr>
                <w:trHeight w:hRule="exact" w:val="216"/>
                <w:tblCellSpacing w:w="14" w:type="dxa"/>
              </w:trPr>
              <w:tc>
                <w:tcPr>
                  <w:tcW w:w="601" w:type="dxa"/>
                  <w:vAlign w:val="center"/>
                </w:tcPr>
                <w:p w14:paraId="01C37594" w14:textId="2220BF38" w:rsidR="00344B22" w:rsidRPr="002B4E56" w:rsidRDefault="001A7430" w:rsidP="00A94F83">
                  <w:pPr>
                    <w:ind w:left="-54"/>
                    <w:jc w:val="right"/>
                    <w:rPr>
                      <w:rFonts w:eastAsia="Times New Roman"/>
                      <w:color w:val="000000"/>
                      <w:sz w:val="14"/>
                      <w:szCs w:val="14"/>
                    </w:rPr>
                  </w:pPr>
                  <w:proofErr w:type="spellStart"/>
                  <w:r w:rsidRPr="002B4E56">
                    <w:rPr>
                      <w:rFonts w:eastAsia="Times New Roman"/>
                      <w:color w:val="000000"/>
                      <w:sz w:val="14"/>
                      <w:szCs w:val="14"/>
                    </w:rPr>
                    <w:t>N</w:t>
                  </w:r>
                  <w:r>
                    <w:rPr>
                      <w:rFonts w:eastAsia="Times New Roman"/>
                      <w:color w:val="000000"/>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95" w14:textId="77777777" w:rsidR="00344B22" w:rsidRPr="002B4E56" w:rsidRDefault="00344B22" w:rsidP="00A94F83">
                  <w:pPr>
                    <w:rPr>
                      <w:rFonts w:eastAsia="Times New Roman"/>
                      <w:color w:val="000000"/>
                      <w:sz w:val="14"/>
                      <w:szCs w:val="14"/>
                    </w:rPr>
                  </w:pPr>
                </w:p>
              </w:tc>
            </w:tr>
            <w:tr w:rsidR="001A7430" w:rsidRPr="002B4E56" w14:paraId="01C37599" w14:textId="77777777" w:rsidTr="00A94F83">
              <w:trPr>
                <w:trHeight w:hRule="exact" w:val="216"/>
                <w:tblCellSpacing w:w="14" w:type="dxa"/>
              </w:trPr>
              <w:tc>
                <w:tcPr>
                  <w:tcW w:w="601" w:type="dxa"/>
                  <w:vAlign w:val="center"/>
                </w:tcPr>
                <w:p w14:paraId="01C37597" w14:textId="248A67D4" w:rsidR="001A7430" w:rsidRPr="002B4E56" w:rsidRDefault="001A7430" w:rsidP="001A7430">
                  <w:pPr>
                    <w:jc w:val="right"/>
                    <w:rPr>
                      <w:rFonts w:eastAsia="Times New Roman"/>
                      <w:color w:val="000000"/>
                      <w:sz w:val="14"/>
                      <w:szCs w:val="14"/>
                    </w:rPr>
                  </w:pPr>
                  <w:r>
                    <w:rPr>
                      <w:rFonts w:eastAsia="Times New Roman"/>
                      <w:color w:val="000000"/>
                      <w:sz w:val="14"/>
                      <w:szCs w:val="14"/>
                    </w:rPr>
                    <w:t>Ja</w:t>
                  </w:r>
                  <w:r w:rsidRPr="002B4E56">
                    <w:rPr>
                      <w:rFonts w:eastAsia="Times New Roman"/>
                      <w:color w:val="000000"/>
                      <w:sz w:val="14"/>
                      <w:szCs w:val="14"/>
                    </w:rPr>
                    <w:t xml:space="preserve">, </w:t>
                  </w:r>
                  <w:proofErr w:type="spellStart"/>
                  <w:r w:rsidRPr="002B4E56">
                    <w:rPr>
                      <w:rFonts w:eastAsia="Times New Roman"/>
                      <w:color w:val="000000"/>
                      <w:sz w:val="14"/>
                      <w:szCs w:val="14"/>
                    </w:rPr>
                    <w:t>b</w:t>
                  </w:r>
                  <w:r>
                    <w:rPr>
                      <w:rFonts w:eastAsia="Times New Roman"/>
                      <w:color w:val="000000"/>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98" w14:textId="77777777" w:rsidR="001A7430" w:rsidRPr="002B4E56" w:rsidRDefault="001A7430" w:rsidP="001A7430">
                  <w:pPr>
                    <w:jc w:val="center"/>
                    <w:rPr>
                      <w:rFonts w:eastAsia="Times New Roman"/>
                      <w:color w:val="000000"/>
                      <w:sz w:val="14"/>
                      <w:szCs w:val="14"/>
                    </w:rPr>
                  </w:pPr>
                </w:p>
              </w:tc>
            </w:tr>
          </w:tbl>
          <w:p w14:paraId="01C3759A" w14:textId="1C777FD9" w:rsidR="00344B22" w:rsidRPr="002B4E56" w:rsidRDefault="001A7430" w:rsidP="00A94F83">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344B22" w:rsidRPr="002B4E56" w14:paraId="01C3759D" w14:textId="77777777" w:rsidTr="00A94F83">
              <w:trPr>
                <w:trHeight w:hRule="exact" w:val="216"/>
                <w:tblCellSpacing w:w="14" w:type="dxa"/>
              </w:trPr>
              <w:tc>
                <w:tcPr>
                  <w:tcW w:w="601" w:type="dxa"/>
                  <w:vAlign w:val="center"/>
                </w:tcPr>
                <w:p w14:paraId="01C3759B" w14:textId="30A19CAA" w:rsidR="00344B22" w:rsidRPr="002B4E56" w:rsidRDefault="001A7430" w:rsidP="00A94F83">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9C" w14:textId="77777777" w:rsidR="00344B22" w:rsidRPr="002B4E56" w:rsidRDefault="00344B22" w:rsidP="00A94F83">
                  <w:pPr>
                    <w:jc w:val="center"/>
                    <w:rPr>
                      <w:rFonts w:eastAsia="Times New Roman"/>
                      <w:color w:val="000000"/>
                      <w:sz w:val="14"/>
                      <w:szCs w:val="14"/>
                    </w:rPr>
                  </w:pPr>
                </w:p>
              </w:tc>
            </w:tr>
            <w:tr w:rsidR="00344B22" w:rsidRPr="002B4E56" w14:paraId="01C375A0" w14:textId="77777777" w:rsidTr="00A94F83">
              <w:trPr>
                <w:trHeight w:hRule="exact" w:val="216"/>
                <w:tblCellSpacing w:w="14" w:type="dxa"/>
              </w:trPr>
              <w:tc>
                <w:tcPr>
                  <w:tcW w:w="601" w:type="dxa"/>
                  <w:vAlign w:val="center"/>
                </w:tcPr>
                <w:p w14:paraId="01C3759E" w14:textId="2F92DCA2" w:rsidR="00344B22" w:rsidRPr="002B4E56" w:rsidRDefault="001A7430" w:rsidP="00A94F83">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9F" w14:textId="77777777" w:rsidR="00344B22" w:rsidRPr="002B4E56" w:rsidRDefault="00344B22" w:rsidP="00A94F83">
                  <w:pPr>
                    <w:rPr>
                      <w:rFonts w:eastAsia="Times New Roman"/>
                      <w:color w:val="000000"/>
                      <w:sz w:val="14"/>
                      <w:szCs w:val="14"/>
                    </w:rPr>
                  </w:pPr>
                </w:p>
              </w:tc>
            </w:tr>
          </w:tbl>
          <w:p w14:paraId="01C375A1" w14:textId="77777777" w:rsidR="00344B22" w:rsidRPr="002B4E56" w:rsidRDefault="00344B22" w:rsidP="00A94F83">
            <w:pPr>
              <w:spacing w:line="360" w:lineRule="auto"/>
              <w:jc w:val="center"/>
              <w:rPr>
                <w:rFonts w:eastAsia="Times New Roman"/>
                <w:color w:val="000000"/>
                <w:sz w:val="14"/>
                <w:szCs w:val="14"/>
              </w:rPr>
            </w:pPr>
          </w:p>
        </w:tc>
        <w:tc>
          <w:tcPr>
            <w:tcW w:w="1080" w:type="dxa"/>
            <w:vMerge w:val="restart"/>
            <w:tcBorders>
              <w:top w:val="single" w:sz="12"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344B22" w:rsidRPr="002B4E56" w14:paraId="01C375A4" w14:textId="77777777" w:rsidTr="00A94F83">
              <w:trPr>
                <w:trHeight w:hRule="exact" w:val="216"/>
                <w:tblCellSpacing w:w="14" w:type="dxa"/>
              </w:trPr>
              <w:tc>
                <w:tcPr>
                  <w:tcW w:w="601" w:type="dxa"/>
                  <w:vAlign w:val="center"/>
                </w:tcPr>
                <w:p w14:paraId="01C375A2" w14:textId="747A3B0B" w:rsidR="00344B22" w:rsidRPr="002B4E56" w:rsidRDefault="001A7430" w:rsidP="00A94F83">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A3" w14:textId="77777777" w:rsidR="00344B22" w:rsidRPr="002B4E56" w:rsidRDefault="00344B22" w:rsidP="00A94F83">
                  <w:pPr>
                    <w:jc w:val="center"/>
                    <w:rPr>
                      <w:rFonts w:eastAsia="Times New Roman"/>
                      <w:color w:val="000000"/>
                      <w:sz w:val="14"/>
                      <w:szCs w:val="14"/>
                    </w:rPr>
                  </w:pPr>
                </w:p>
              </w:tc>
            </w:tr>
            <w:tr w:rsidR="00344B22" w:rsidRPr="002B4E56" w14:paraId="01C375A7" w14:textId="77777777" w:rsidTr="00A94F83">
              <w:trPr>
                <w:trHeight w:hRule="exact" w:val="216"/>
                <w:tblCellSpacing w:w="14" w:type="dxa"/>
              </w:trPr>
              <w:tc>
                <w:tcPr>
                  <w:tcW w:w="601" w:type="dxa"/>
                  <w:vAlign w:val="center"/>
                </w:tcPr>
                <w:p w14:paraId="01C375A5" w14:textId="0BC383D4" w:rsidR="00344B22" w:rsidRPr="002B4E56" w:rsidRDefault="001A7430" w:rsidP="00A94F83">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A6" w14:textId="77777777" w:rsidR="00344B22" w:rsidRPr="002B4E56" w:rsidRDefault="00344B22" w:rsidP="00A94F83">
                  <w:pPr>
                    <w:rPr>
                      <w:rFonts w:eastAsia="Times New Roman"/>
                      <w:color w:val="000000"/>
                      <w:sz w:val="14"/>
                      <w:szCs w:val="14"/>
                    </w:rPr>
                  </w:pPr>
                </w:p>
              </w:tc>
            </w:tr>
          </w:tbl>
          <w:p w14:paraId="01C375A8" w14:textId="77777777" w:rsidR="00344B22" w:rsidRPr="002B4E56" w:rsidRDefault="00344B22" w:rsidP="00A94F83">
            <w:pPr>
              <w:spacing w:line="360" w:lineRule="auto"/>
              <w:jc w:val="center"/>
              <w:rPr>
                <w:rFonts w:eastAsia="Times New Roman"/>
                <w:color w:val="000000"/>
                <w:sz w:val="14"/>
                <w:szCs w:val="14"/>
              </w:rPr>
            </w:pPr>
          </w:p>
        </w:tc>
        <w:tc>
          <w:tcPr>
            <w:tcW w:w="3780" w:type="dxa"/>
            <w:vMerge w:val="restart"/>
            <w:tcBorders>
              <w:top w:val="single" w:sz="12" w:space="0" w:color="auto"/>
            </w:tcBorders>
          </w:tcPr>
          <w:p w14:paraId="01C375A9" w14:textId="77777777" w:rsidR="00344B22" w:rsidRPr="00CF2D28" w:rsidRDefault="00344B22" w:rsidP="00170A32">
            <w:pPr>
              <w:spacing w:line="360" w:lineRule="auto"/>
              <w:rPr>
                <w:sz w:val="18"/>
                <w:szCs w:val="20"/>
              </w:rPr>
            </w:pPr>
          </w:p>
        </w:tc>
        <w:tc>
          <w:tcPr>
            <w:tcW w:w="720" w:type="dxa"/>
            <w:vMerge w:val="restart"/>
            <w:tcBorders>
              <w:top w:val="single" w:sz="12" w:space="0" w:color="auto"/>
              <w:right w:val="single" w:sz="12" w:space="0" w:color="000000" w:themeColor="text1"/>
            </w:tcBorders>
          </w:tcPr>
          <w:p w14:paraId="01C375AA" w14:textId="77777777" w:rsidR="00344B22" w:rsidRPr="00CF2D28" w:rsidRDefault="00344B22" w:rsidP="00170A32">
            <w:pPr>
              <w:spacing w:line="360" w:lineRule="auto"/>
              <w:rPr>
                <w:sz w:val="18"/>
                <w:szCs w:val="20"/>
              </w:rPr>
            </w:pPr>
          </w:p>
        </w:tc>
      </w:tr>
      <w:tr w:rsidR="002C158F" w:rsidRPr="002B4E56" w14:paraId="01C375B4" w14:textId="77777777" w:rsidTr="00030736">
        <w:trPr>
          <w:trHeight w:val="472"/>
        </w:trPr>
        <w:tc>
          <w:tcPr>
            <w:tcW w:w="1998" w:type="dxa"/>
            <w:tcBorders>
              <w:top w:val="dashed" w:sz="4" w:space="0" w:color="auto"/>
              <w:left w:val="single" w:sz="12" w:space="0" w:color="000000" w:themeColor="text1"/>
              <w:bottom w:val="single" w:sz="12" w:space="0" w:color="auto"/>
            </w:tcBorders>
          </w:tcPr>
          <w:p w14:paraId="01C375AC" w14:textId="77777777" w:rsidR="002C158F" w:rsidRPr="00CF2D28" w:rsidRDefault="002C158F" w:rsidP="00170A32">
            <w:pPr>
              <w:spacing w:line="360" w:lineRule="auto"/>
              <w:rPr>
                <w:sz w:val="18"/>
                <w:szCs w:val="20"/>
              </w:rPr>
            </w:pPr>
          </w:p>
        </w:tc>
        <w:tc>
          <w:tcPr>
            <w:tcW w:w="2520" w:type="dxa"/>
            <w:vMerge/>
            <w:tcBorders>
              <w:bottom w:val="single" w:sz="12" w:space="0" w:color="000000" w:themeColor="text1"/>
            </w:tcBorders>
          </w:tcPr>
          <w:p w14:paraId="01C375AD" w14:textId="77777777" w:rsidR="002C158F" w:rsidRPr="00CF2D28" w:rsidRDefault="002C158F" w:rsidP="00170A32">
            <w:pPr>
              <w:spacing w:line="360" w:lineRule="auto"/>
              <w:rPr>
                <w:sz w:val="18"/>
                <w:szCs w:val="20"/>
              </w:rPr>
            </w:pPr>
          </w:p>
        </w:tc>
        <w:tc>
          <w:tcPr>
            <w:tcW w:w="810" w:type="dxa"/>
            <w:vMerge/>
            <w:tcBorders>
              <w:bottom w:val="single" w:sz="12" w:space="0" w:color="000000" w:themeColor="text1"/>
            </w:tcBorders>
          </w:tcPr>
          <w:p w14:paraId="01C375AE" w14:textId="77777777" w:rsidR="002C158F" w:rsidRPr="00CF2D28" w:rsidRDefault="002C158F" w:rsidP="00170A32">
            <w:pPr>
              <w:spacing w:before="120" w:line="360" w:lineRule="auto"/>
              <w:jc w:val="right"/>
              <w:rPr>
                <w:rFonts w:eastAsia="Times New Roman"/>
                <w:color w:val="000000"/>
                <w:sz w:val="18"/>
                <w:szCs w:val="20"/>
              </w:rPr>
            </w:pPr>
          </w:p>
        </w:tc>
        <w:tc>
          <w:tcPr>
            <w:tcW w:w="1080" w:type="dxa"/>
            <w:vMerge/>
            <w:tcBorders>
              <w:bottom w:val="single" w:sz="12" w:space="0" w:color="000000" w:themeColor="text1"/>
            </w:tcBorders>
          </w:tcPr>
          <w:p w14:paraId="01C375AF" w14:textId="77777777" w:rsidR="002C158F" w:rsidRPr="002B4E56" w:rsidRDefault="002C158F" w:rsidP="00170A32">
            <w:pPr>
              <w:spacing w:before="120" w:line="360" w:lineRule="auto"/>
              <w:jc w:val="right"/>
              <w:rPr>
                <w:rFonts w:eastAsia="Times New Roman"/>
                <w:color w:val="000000"/>
                <w:sz w:val="14"/>
                <w:szCs w:val="14"/>
              </w:rPr>
            </w:pPr>
          </w:p>
        </w:tc>
        <w:tc>
          <w:tcPr>
            <w:tcW w:w="1170" w:type="dxa"/>
            <w:vMerge/>
            <w:tcBorders>
              <w:bottom w:val="single" w:sz="12" w:space="0" w:color="000000" w:themeColor="text1"/>
            </w:tcBorders>
          </w:tcPr>
          <w:p w14:paraId="01C375B0" w14:textId="77777777" w:rsidR="002C158F" w:rsidRPr="002B4E56" w:rsidRDefault="002C158F" w:rsidP="00170A32">
            <w:pPr>
              <w:spacing w:line="360" w:lineRule="auto"/>
              <w:jc w:val="right"/>
              <w:rPr>
                <w:rFonts w:eastAsia="Times New Roman"/>
                <w:color w:val="000000"/>
                <w:sz w:val="14"/>
                <w:szCs w:val="14"/>
              </w:rPr>
            </w:pPr>
          </w:p>
        </w:tc>
        <w:tc>
          <w:tcPr>
            <w:tcW w:w="1080" w:type="dxa"/>
            <w:vMerge/>
            <w:tcBorders>
              <w:bottom w:val="single" w:sz="12" w:space="0" w:color="000000" w:themeColor="text1"/>
            </w:tcBorders>
          </w:tcPr>
          <w:p w14:paraId="01C375B1" w14:textId="77777777" w:rsidR="002C158F" w:rsidRPr="002B4E56" w:rsidRDefault="002C158F" w:rsidP="00170A32">
            <w:pPr>
              <w:spacing w:line="360" w:lineRule="auto"/>
              <w:jc w:val="right"/>
              <w:rPr>
                <w:rFonts w:eastAsia="Times New Roman"/>
                <w:color w:val="000000"/>
                <w:sz w:val="14"/>
                <w:szCs w:val="14"/>
              </w:rPr>
            </w:pPr>
          </w:p>
        </w:tc>
        <w:tc>
          <w:tcPr>
            <w:tcW w:w="3780" w:type="dxa"/>
            <w:vMerge/>
            <w:tcBorders>
              <w:bottom w:val="single" w:sz="12" w:space="0" w:color="000000" w:themeColor="text1"/>
            </w:tcBorders>
          </w:tcPr>
          <w:p w14:paraId="01C375B2" w14:textId="77777777" w:rsidR="002C158F" w:rsidRPr="00CF2D28" w:rsidRDefault="002C158F" w:rsidP="00170A32">
            <w:pPr>
              <w:spacing w:line="360" w:lineRule="auto"/>
              <w:rPr>
                <w:sz w:val="18"/>
                <w:szCs w:val="20"/>
              </w:rPr>
            </w:pPr>
          </w:p>
        </w:tc>
        <w:tc>
          <w:tcPr>
            <w:tcW w:w="720" w:type="dxa"/>
            <w:vMerge/>
            <w:tcBorders>
              <w:bottom w:val="single" w:sz="12" w:space="0" w:color="000000" w:themeColor="text1"/>
              <w:right w:val="single" w:sz="12" w:space="0" w:color="000000" w:themeColor="text1"/>
            </w:tcBorders>
          </w:tcPr>
          <w:p w14:paraId="01C375B3" w14:textId="77777777" w:rsidR="002C158F" w:rsidRPr="00CF2D28" w:rsidRDefault="002C158F" w:rsidP="00170A32">
            <w:pPr>
              <w:spacing w:line="360" w:lineRule="auto"/>
              <w:rPr>
                <w:sz w:val="18"/>
                <w:szCs w:val="20"/>
              </w:rPr>
            </w:pPr>
          </w:p>
        </w:tc>
      </w:tr>
      <w:tr w:rsidR="00344B22" w:rsidRPr="002B4E56" w14:paraId="01C375D2" w14:textId="77777777" w:rsidTr="00030736">
        <w:trPr>
          <w:trHeight w:val="473"/>
        </w:trPr>
        <w:tc>
          <w:tcPr>
            <w:tcW w:w="1998" w:type="dxa"/>
            <w:tcBorders>
              <w:top w:val="single" w:sz="12" w:space="0" w:color="auto"/>
              <w:left w:val="single" w:sz="12" w:space="0" w:color="000000" w:themeColor="text1"/>
              <w:bottom w:val="dashed" w:sz="4" w:space="0" w:color="auto"/>
            </w:tcBorders>
          </w:tcPr>
          <w:p w14:paraId="01C375B5" w14:textId="77777777" w:rsidR="00344B22" w:rsidRPr="00CF2D28" w:rsidRDefault="00344B22" w:rsidP="00170A32">
            <w:pPr>
              <w:spacing w:line="360" w:lineRule="auto"/>
              <w:rPr>
                <w:sz w:val="18"/>
                <w:szCs w:val="20"/>
              </w:rPr>
            </w:pPr>
          </w:p>
        </w:tc>
        <w:tc>
          <w:tcPr>
            <w:tcW w:w="2520" w:type="dxa"/>
            <w:vMerge w:val="restart"/>
            <w:tcBorders>
              <w:top w:val="single" w:sz="12" w:space="0" w:color="000000" w:themeColor="text1"/>
            </w:tcBorders>
          </w:tcPr>
          <w:p w14:paraId="01C375B6" w14:textId="77777777" w:rsidR="00344B22" w:rsidRPr="00CF2D28" w:rsidRDefault="00344B22" w:rsidP="00170A32">
            <w:pPr>
              <w:spacing w:line="360" w:lineRule="auto"/>
              <w:rPr>
                <w:sz w:val="18"/>
                <w:szCs w:val="20"/>
              </w:rPr>
            </w:pPr>
          </w:p>
        </w:tc>
        <w:tc>
          <w:tcPr>
            <w:tcW w:w="810" w:type="dxa"/>
            <w:vMerge w:val="restart"/>
            <w:tcBorders>
              <w:top w:val="single" w:sz="12" w:space="0" w:color="000000" w:themeColor="text1"/>
            </w:tcBorders>
          </w:tcPr>
          <w:p w14:paraId="01C375B7" w14:textId="77777777" w:rsidR="00344B22" w:rsidRPr="00CF2D28" w:rsidRDefault="00344B22" w:rsidP="00170A32">
            <w:pPr>
              <w:ind w:left="-54"/>
              <w:jc w:val="right"/>
              <w:rPr>
                <w:rFonts w:eastAsia="Times New Roman"/>
                <w:color w:val="000000"/>
                <w:sz w:val="18"/>
                <w:szCs w:val="20"/>
              </w:rPr>
            </w:pPr>
          </w:p>
        </w:tc>
        <w:tc>
          <w:tcPr>
            <w:tcW w:w="1080" w:type="dxa"/>
            <w:vMerge w:val="restart"/>
            <w:tcBorders>
              <w:top w:val="single" w:sz="12" w:space="0" w:color="000000" w:themeColor="text1"/>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344B22" w:rsidRPr="002B4E56" w14:paraId="01C375BA" w14:textId="77777777" w:rsidTr="00A94F83">
              <w:trPr>
                <w:trHeight w:hRule="exact" w:val="216"/>
                <w:tblCellSpacing w:w="14" w:type="dxa"/>
              </w:trPr>
              <w:tc>
                <w:tcPr>
                  <w:tcW w:w="601" w:type="dxa"/>
                  <w:vAlign w:val="center"/>
                </w:tcPr>
                <w:p w14:paraId="01C375B8" w14:textId="5732A4CB" w:rsidR="00344B22" w:rsidRPr="002B4E56" w:rsidRDefault="001A7430" w:rsidP="00A94F83">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B9" w14:textId="77777777" w:rsidR="00344B22" w:rsidRPr="002B4E56" w:rsidRDefault="00344B22" w:rsidP="00A94F83">
                  <w:pPr>
                    <w:jc w:val="center"/>
                    <w:rPr>
                      <w:rFonts w:eastAsia="Times New Roman"/>
                      <w:color w:val="000000"/>
                      <w:sz w:val="14"/>
                      <w:szCs w:val="14"/>
                    </w:rPr>
                  </w:pPr>
                </w:p>
              </w:tc>
            </w:tr>
            <w:tr w:rsidR="00344B22" w:rsidRPr="002B4E56" w14:paraId="01C375BD" w14:textId="77777777" w:rsidTr="00A94F83">
              <w:trPr>
                <w:trHeight w:hRule="exact" w:val="216"/>
                <w:tblCellSpacing w:w="14" w:type="dxa"/>
              </w:trPr>
              <w:tc>
                <w:tcPr>
                  <w:tcW w:w="601" w:type="dxa"/>
                  <w:vAlign w:val="center"/>
                </w:tcPr>
                <w:p w14:paraId="01C375BB" w14:textId="645E5306" w:rsidR="00344B22" w:rsidRPr="002B4E56" w:rsidRDefault="001A7430" w:rsidP="00A94F83">
                  <w:pPr>
                    <w:ind w:left="-54"/>
                    <w:jc w:val="right"/>
                    <w:rPr>
                      <w:rFonts w:eastAsia="Times New Roman"/>
                      <w:color w:val="000000"/>
                      <w:sz w:val="14"/>
                      <w:szCs w:val="14"/>
                    </w:rPr>
                  </w:pPr>
                  <w:proofErr w:type="spellStart"/>
                  <w:r w:rsidRPr="002B4E56">
                    <w:rPr>
                      <w:rFonts w:eastAsia="Times New Roman"/>
                      <w:color w:val="000000"/>
                      <w:sz w:val="14"/>
                      <w:szCs w:val="14"/>
                    </w:rPr>
                    <w:t>N</w:t>
                  </w:r>
                  <w:r>
                    <w:rPr>
                      <w:rFonts w:eastAsia="Times New Roman"/>
                      <w:color w:val="000000"/>
                      <w:sz w:val="14"/>
                      <w:szCs w:val="14"/>
                    </w:rPr>
                    <w:t>ein</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BC" w14:textId="77777777" w:rsidR="00344B22" w:rsidRPr="002B4E56" w:rsidRDefault="00344B22" w:rsidP="00A94F83">
                  <w:pPr>
                    <w:rPr>
                      <w:rFonts w:eastAsia="Times New Roman"/>
                      <w:color w:val="000000"/>
                      <w:sz w:val="14"/>
                      <w:szCs w:val="14"/>
                    </w:rPr>
                  </w:pPr>
                </w:p>
              </w:tc>
            </w:tr>
            <w:tr w:rsidR="001A7430" w:rsidRPr="002B4E56" w14:paraId="01C375C0" w14:textId="77777777" w:rsidTr="00A94F83">
              <w:trPr>
                <w:trHeight w:hRule="exact" w:val="216"/>
                <w:tblCellSpacing w:w="14" w:type="dxa"/>
              </w:trPr>
              <w:tc>
                <w:tcPr>
                  <w:tcW w:w="601" w:type="dxa"/>
                  <w:vAlign w:val="center"/>
                </w:tcPr>
                <w:p w14:paraId="01C375BE" w14:textId="1A853B0A" w:rsidR="001A7430" w:rsidRPr="002B4E56" w:rsidRDefault="001A7430" w:rsidP="001A7430">
                  <w:pPr>
                    <w:jc w:val="right"/>
                    <w:rPr>
                      <w:rFonts w:eastAsia="Times New Roman"/>
                      <w:color w:val="000000"/>
                      <w:sz w:val="14"/>
                      <w:szCs w:val="14"/>
                    </w:rPr>
                  </w:pPr>
                  <w:r>
                    <w:rPr>
                      <w:rFonts w:eastAsia="Times New Roman"/>
                      <w:color w:val="000000"/>
                      <w:sz w:val="14"/>
                      <w:szCs w:val="14"/>
                    </w:rPr>
                    <w:t>Ja</w:t>
                  </w:r>
                  <w:r w:rsidRPr="002B4E56">
                    <w:rPr>
                      <w:rFonts w:eastAsia="Times New Roman"/>
                      <w:color w:val="000000"/>
                      <w:sz w:val="14"/>
                      <w:szCs w:val="14"/>
                    </w:rPr>
                    <w:t xml:space="preserve">, </w:t>
                  </w:r>
                  <w:proofErr w:type="spellStart"/>
                  <w:r w:rsidRPr="002B4E56">
                    <w:rPr>
                      <w:rFonts w:eastAsia="Times New Roman"/>
                      <w:color w:val="000000"/>
                      <w:sz w:val="14"/>
                      <w:szCs w:val="14"/>
                    </w:rPr>
                    <w:t>b</w:t>
                  </w:r>
                  <w:r>
                    <w:rPr>
                      <w:rFonts w:eastAsia="Times New Roman"/>
                      <w:color w:val="000000"/>
                      <w:sz w:val="14"/>
                      <w:szCs w:val="14"/>
                    </w:rPr>
                    <w:t>ei</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BF" w14:textId="77777777" w:rsidR="001A7430" w:rsidRPr="002B4E56" w:rsidRDefault="001A7430" w:rsidP="001A7430">
                  <w:pPr>
                    <w:jc w:val="center"/>
                    <w:rPr>
                      <w:rFonts w:eastAsia="Times New Roman"/>
                      <w:color w:val="000000"/>
                      <w:sz w:val="14"/>
                      <w:szCs w:val="14"/>
                    </w:rPr>
                  </w:pPr>
                </w:p>
              </w:tc>
            </w:tr>
          </w:tbl>
          <w:p w14:paraId="01C375C1" w14:textId="41E35ACC" w:rsidR="00344B22" w:rsidRPr="002B4E56" w:rsidRDefault="001A7430" w:rsidP="00A94F83">
            <w:pPr>
              <w:spacing w:line="360" w:lineRule="auto"/>
              <w:jc w:val="center"/>
              <w:rPr>
                <w:rFonts w:eastAsia="Times New Roman"/>
                <w:color w:val="000000"/>
                <w:sz w:val="14"/>
                <w:szCs w:val="14"/>
              </w:rPr>
            </w:pPr>
            <w:proofErr w:type="spellStart"/>
            <w:r>
              <w:rPr>
                <w:rFonts w:eastAsia="Times New Roman"/>
                <w:color w:val="000000" w:themeColor="text1"/>
                <w:sz w:val="14"/>
                <w:szCs w:val="14"/>
              </w:rPr>
              <w:t>Ausnahme</w:t>
            </w:r>
            <w:proofErr w:type="spellEnd"/>
          </w:p>
        </w:tc>
        <w:tc>
          <w:tcPr>
            <w:tcW w:w="1170" w:type="dxa"/>
            <w:vMerge w:val="restart"/>
            <w:tcBorders>
              <w:top w:val="single" w:sz="12" w:space="0" w:color="000000" w:themeColor="text1"/>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344B22" w:rsidRPr="002B4E56" w14:paraId="01C375C4" w14:textId="77777777" w:rsidTr="00A94F83">
              <w:trPr>
                <w:trHeight w:hRule="exact" w:val="216"/>
                <w:tblCellSpacing w:w="14" w:type="dxa"/>
              </w:trPr>
              <w:tc>
                <w:tcPr>
                  <w:tcW w:w="601" w:type="dxa"/>
                  <w:vAlign w:val="center"/>
                </w:tcPr>
                <w:p w14:paraId="01C375C2" w14:textId="14DBD356" w:rsidR="00344B22" w:rsidRPr="002B4E56" w:rsidRDefault="001A7430" w:rsidP="00A94F83">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C3" w14:textId="77777777" w:rsidR="00344B22" w:rsidRPr="002B4E56" w:rsidRDefault="00344B22" w:rsidP="00A94F83">
                  <w:pPr>
                    <w:jc w:val="center"/>
                    <w:rPr>
                      <w:rFonts w:eastAsia="Times New Roman"/>
                      <w:color w:val="000000"/>
                      <w:sz w:val="14"/>
                      <w:szCs w:val="14"/>
                    </w:rPr>
                  </w:pPr>
                </w:p>
              </w:tc>
            </w:tr>
            <w:tr w:rsidR="00344B22" w:rsidRPr="002B4E56" w14:paraId="01C375C7" w14:textId="77777777" w:rsidTr="00A94F83">
              <w:trPr>
                <w:trHeight w:hRule="exact" w:val="216"/>
                <w:tblCellSpacing w:w="14" w:type="dxa"/>
              </w:trPr>
              <w:tc>
                <w:tcPr>
                  <w:tcW w:w="601" w:type="dxa"/>
                  <w:vAlign w:val="center"/>
                </w:tcPr>
                <w:p w14:paraId="01C375C5" w14:textId="78525A3B" w:rsidR="00344B22" w:rsidRPr="002B4E56" w:rsidRDefault="001A7430" w:rsidP="00A94F83">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C6" w14:textId="77777777" w:rsidR="00344B22" w:rsidRPr="002B4E56" w:rsidRDefault="00344B22" w:rsidP="00A94F83">
                  <w:pPr>
                    <w:rPr>
                      <w:rFonts w:eastAsia="Times New Roman"/>
                      <w:color w:val="000000"/>
                      <w:sz w:val="14"/>
                      <w:szCs w:val="14"/>
                    </w:rPr>
                  </w:pPr>
                </w:p>
              </w:tc>
            </w:tr>
          </w:tbl>
          <w:p w14:paraId="01C375C8" w14:textId="77777777" w:rsidR="00344B22" w:rsidRPr="002B4E56" w:rsidRDefault="00344B22" w:rsidP="00A94F83">
            <w:pPr>
              <w:spacing w:line="360" w:lineRule="auto"/>
              <w:jc w:val="center"/>
              <w:rPr>
                <w:rFonts w:eastAsia="Times New Roman"/>
                <w:color w:val="000000"/>
                <w:sz w:val="14"/>
                <w:szCs w:val="14"/>
              </w:rPr>
            </w:pPr>
          </w:p>
        </w:tc>
        <w:tc>
          <w:tcPr>
            <w:tcW w:w="1080" w:type="dxa"/>
            <w:vMerge w:val="restart"/>
            <w:tcBorders>
              <w:top w:val="single" w:sz="12" w:space="0" w:color="000000" w:themeColor="text1"/>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3"/>
              <w:gridCol w:w="200"/>
            </w:tblGrid>
            <w:tr w:rsidR="00344B22" w:rsidRPr="002B4E56" w14:paraId="01C375CB" w14:textId="77777777" w:rsidTr="00A94F83">
              <w:trPr>
                <w:trHeight w:hRule="exact" w:val="216"/>
                <w:tblCellSpacing w:w="14" w:type="dxa"/>
              </w:trPr>
              <w:tc>
                <w:tcPr>
                  <w:tcW w:w="601" w:type="dxa"/>
                  <w:vAlign w:val="center"/>
                </w:tcPr>
                <w:p w14:paraId="01C375C9" w14:textId="62F4C834" w:rsidR="00344B22" w:rsidRPr="002B4E56" w:rsidRDefault="001A7430" w:rsidP="00A94F83">
                  <w:pPr>
                    <w:ind w:left="-54"/>
                    <w:jc w:val="right"/>
                    <w:rPr>
                      <w:rFonts w:eastAsia="Times New Roman"/>
                      <w:color w:val="000000"/>
                      <w:sz w:val="14"/>
                      <w:szCs w:val="14"/>
                    </w:rPr>
                  </w:pPr>
                  <w:proofErr w:type="spellStart"/>
                  <w:r>
                    <w:rPr>
                      <w:rFonts w:eastAsia="Times New Roman"/>
                      <w:color w:val="000000"/>
                      <w:sz w:val="14"/>
                      <w:szCs w:val="14"/>
                    </w:rPr>
                    <w:t>Keine</w:t>
                  </w:r>
                  <w:proofErr w:type="spellEnd"/>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CA" w14:textId="77777777" w:rsidR="00344B22" w:rsidRPr="002B4E56" w:rsidRDefault="00344B22" w:rsidP="00A94F83">
                  <w:pPr>
                    <w:jc w:val="center"/>
                    <w:rPr>
                      <w:rFonts w:eastAsia="Times New Roman"/>
                      <w:color w:val="000000"/>
                      <w:sz w:val="14"/>
                      <w:szCs w:val="14"/>
                    </w:rPr>
                  </w:pPr>
                </w:p>
              </w:tc>
            </w:tr>
            <w:tr w:rsidR="00344B22" w:rsidRPr="002B4E56" w14:paraId="01C375CE" w14:textId="77777777" w:rsidTr="00A94F83">
              <w:trPr>
                <w:trHeight w:hRule="exact" w:val="216"/>
                <w:tblCellSpacing w:w="14" w:type="dxa"/>
              </w:trPr>
              <w:tc>
                <w:tcPr>
                  <w:tcW w:w="601" w:type="dxa"/>
                  <w:vAlign w:val="center"/>
                </w:tcPr>
                <w:p w14:paraId="01C375CC" w14:textId="1A83DB5A" w:rsidR="00344B22" w:rsidRPr="002B4E56" w:rsidRDefault="001A7430" w:rsidP="00A94F83">
                  <w:pPr>
                    <w:ind w:left="-54"/>
                    <w:jc w:val="right"/>
                    <w:rPr>
                      <w:rFonts w:eastAsia="Times New Roman"/>
                      <w:color w:val="000000"/>
                      <w:sz w:val="14"/>
                      <w:szCs w:val="14"/>
                    </w:rPr>
                  </w:pPr>
                  <w:r>
                    <w:rPr>
                      <w:rFonts w:eastAsia="Times New Roman"/>
                      <w:color w:val="000000"/>
                      <w:sz w:val="14"/>
                      <w:szCs w:val="14"/>
                    </w:rPr>
                    <w:t>Ja</w:t>
                  </w:r>
                </w:p>
              </w:tc>
              <w:tc>
                <w:tcPr>
                  <w:tcW w:w="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375CD" w14:textId="77777777" w:rsidR="00344B22" w:rsidRPr="002B4E56" w:rsidRDefault="00344B22" w:rsidP="00A94F83">
                  <w:pPr>
                    <w:rPr>
                      <w:rFonts w:eastAsia="Times New Roman"/>
                      <w:color w:val="000000"/>
                      <w:sz w:val="14"/>
                      <w:szCs w:val="14"/>
                    </w:rPr>
                  </w:pPr>
                </w:p>
              </w:tc>
            </w:tr>
          </w:tbl>
          <w:p w14:paraId="01C375CF" w14:textId="77777777" w:rsidR="00344B22" w:rsidRPr="002B4E56" w:rsidRDefault="00344B22" w:rsidP="00A94F83">
            <w:pPr>
              <w:spacing w:line="360" w:lineRule="auto"/>
              <w:jc w:val="center"/>
              <w:rPr>
                <w:rFonts w:eastAsia="Times New Roman"/>
                <w:color w:val="000000"/>
                <w:sz w:val="14"/>
                <w:szCs w:val="14"/>
              </w:rPr>
            </w:pPr>
          </w:p>
        </w:tc>
        <w:tc>
          <w:tcPr>
            <w:tcW w:w="3780" w:type="dxa"/>
            <w:vMerge w:val="restart"/>
            <w:tcBorders>
              <w:top w:val="single" w:sz="12" w:space="0" w:color="000000" w:themeColor="text1"/>
            </w:tcBorders>
          </w:tcPr>
          <w:p w14:paraId="01C375D0" w14:textId="77777777" w:rsidR="00344B22" w:rsidRPr="00CF2D28" w:rsidRDefault="00344B22" w:rsidP="00170A32">
            <w:pPr>
              <w:spacing w:line="360" w:lineRule="auto"/>
              <w:rPr>
                <w:sz w:val="18"/>
                <w:szCs w:val="20"/>
              </w:rPr>
            </w:pPr>
          </w:p>
        </w:tc>
        <w:tc>
          <w:tcPr>
            <w:tcW w:w="720" w:type="dxa"/>
            <w:vMerge w:val="restart"/>
            <w:tcBorders>
              <w:top w:val="single" w:sz="12" w:space="0" w:color="000000" w:themeColor="text1"/>
              <w:right w:val="single" w:sz="12" w:space="0" w:color="000000" w:themeColor="text1"/>
            </w:tcBorders>
          </w:tcPr>
          <w:p w14:paraId="01C375D1" w14:textId="77777777" w:rsidR="00344B22" w:rsidRPr="00CF2D28" w:rsidRDefault="00344B22" w:rsidP="00170A32">
            <w:pPr>
              <w:spacing w:line="360" w:lineRule="auto"/>
              <w:rPr>
                <w:sz w:val="18"/>
                <w:szCs w:val="20"/>
              </w:rPr>
            </w:pPr>
          </w:p>
        </w:tc>
      </w:tr>
      <w:tr w:rsidR="002C158F" w:rsidRPr="002B4E56" w14:paraId="01C375DB" w14:textId="77777777" w:rsidTr="00030736">
        <w:trPr>
          <w:trHeight w:val="472"/>
        </w:trPr>
        <w:tc>
          <w:tcPr>
            <w:tcW w:w="1998" w:type="dxa"/>
            <w:tcBorders>
              <w:top w:val="dashed" w:sz="4" w:space="0" w:color="auto"/>
              <w:left w:val="single" w:sz="12" w:space="0" w:color="000000" w:themeColor="text1"/>
              <w:bottom w:val="single" w:sz="12" w:space="0" w:color="auto"/>
            </w:tcBorders>
          </w:tcPr>
          <w:p w14:paraId="01C375D3" w14:textId="77777777" w:rsidR="002C158F" w:rsidRPr="00CF2D28" w:rsidRDefault="002C158F" w:rsidP="00170A32">
            <w:pPr>
              <w:spacing w:line="360" w:lineRule="auto"/>
              <w:rPr>
                <w:sz w:val="18"/>
                <w:szCs w:val="20"/>
              </w:rPr>
            </w:pPr>
          </w:p>
        </w:tc>
        <w:tc>
          <w:tcPr>
            <w:tcW w:w="2520" w:type="dxa"/>
            <w:vMerge/>
            <w:tcBorders>
              <w:bottom w:val="single" w:sz="12" w:space="0" w:color="000000" w:themeColor="text1"/>
            </w:tcBorders>
          </w:tcPr>
          <w:p w14:paraId="01C375D4" w14:textId="77777777" w:rsidR="002C158F" w:rsidRPr="00CF2D28" w:rsidRDefault="002C158F" w:rsidP="00170A32">
            <w:pPr>
              <w:spacing w:line="360" w:lineRule="auto"/>
              <w:rPr>
                <w:sz w:val="18"/>
                <w:szCs w:val="20"/>
              </w:rPr>
            </w:pPr>
          </w:p>
        </w:tc>
        <w:tc>
          <w:tcPr>
            <w:tcW w:w="810" w:type="dxa"/>
            <w:vMerge/>
            <w:tcBorders>
              <w:bottom w:val="single" w:sz="12" w:space="0" w:color="000000" w:themeColor="text1"/>
            </w:tcBorders>
          </w:tcPr>
          <w:p w14:paraId="01C375D5" w14:textId="77777777" w:rsidR="002C158F" w:rsidRPr="00CF2D28" w:rsidRDefault="002C158F" w:rsidP="00170A32">
            <w:pPr>
              <w:spacing w:before="120" w:line="360" w:lineRule="auto"/>
              <w:jc w:val="right"/>
              <w:rPr>
                <w:rFonts w:eastAsia="Times New Roman"/>
                <w:color w:val="000000"/>
                <w:sz w:val="18"/>
                <w:szCs w:val="20"/>
              </w:rPr>
            </w:pPr>
          </w:p>
        </w:tc>
        <w:tc>
          <w:tcPr>
            <w:tcW w:w="1080" w:type="dxa"/>
            <w:vMerge/>
            <w:tcBorders>
              <w:bottom w:val="single" w:sz="12" w:space="0" w:color="000000" w:themeColor="text1"/>
            </w:tcBorders>
          </w:tcPr>
          <w:p w14:paraId="01C375D6" w14:textId="77777777" w:rsidR="002C158F" w:rsidRPr="002B4E56" w:rsidRDefault="002C158F" w:rsidP="00170A32">
            <w:pPr>
              <w:spacing w:before="120" w:line="360" w:lineRule="auto"/>
              <w:jc w:val="right"/>
              <w:rPr>
                <w:rFonts w:eastAsia="Times New Roman"/>
                <w:color w:val="000000"/>
                <w:sz w:val="14"/>
                <w:szCs w:val="14"/>
              </w:rPr>
            </w:pPr>
          </w:p>
        </w:tc>
        <w:tc>
          <w:tcPr>
            <w:tcW w:w="1170" w:type="dxa"/>
            <w:vMerge/>
            <w:tcBorders>
              <w:bottom w:val="single" w:sz="12" w:space="0" w:color="000000" w:themeColor="text1"/>
            </w:tcBorders>
          </w:tcPr>
          <w:p w14:paraId="01C375D7" w14:textId="77777777" w:rsidR="002C158F" w:rsidRPr="002B4E56" w:rsidRDefault="002C158F" w:rsidP="00170A32">
            <w:pPr>
              <w:spacing w:line="360" w:lineRule="auto"/>
              <w:jc w:val="right"/>
              <w:rPr>
                <w:rFonts w:eastAsia="Times New Roman"/>
                <w:color w:val="000000"/>
                <w:sz w:val="14"/>
                <w:szCs w:val="14"/>
              </w:rPr>
            </w:pPr>
          </w:p>
        </w:tc>
        <w:tc>
          <w:tcPr>
            <w:tcW w:w="1080" w:type="dxa"/>
            <w:vMerge/>
            <w:tcBorders>
              <w:bottom w:val="single" w:sz="12" w:space="0" w:color="000000" w:themeColor="text1"/>
            </w:tcBorders>
          </w:tcPr>
          <w:p w14:paraId="01C375D8" w14:textId="77777777" w:rsidR="002C158F" w:rsidRPr="002B4E56" w:rsidRDefault="002C158F" w:rsidP="00170A32">
            <w:pPr>
              <w:spacing w:line="360" w:lineRule="auto"/>
              <w:jc w:val="right"/>
              <w:rPr>
                <w:rFonts w:eastAsia="Times New Roman"/>
                <w:color w:val="000000"/>
                <w:sz w:val="14"/>
                <w:szCs w:val="14"/>
              </w:rPr>
            </w:pPr>
          </w:p>
        </w:tc>
        <w:tc>
          <w:tcPr>
            <w:tcW w:w="3780" w:type="dxa"/>
            <w:vMerge/>
            <w:tcBorders>
              <w:bottom w:val="single" w:sz="12" w:space="0" w:color="000000" w:themeColor="text1"/>
            </w:tcBorders>
          </w:tcPr>
          <w:p w14:paraId="01C375D9" w14:textId="77777777" w:rsidR="002C158F" w:rsidRPr="00CF2D28" w:rsidRDefault="002C158F" w:rsidP="00170A32">
            <w:pPr>
              <w:spacing w:line="360" w:lineRule="auto"/>
              <w:rPr>
                <w:sz w:val="18"/>
                <w:szCs w:val="20"/>
              </w:rPr>
            </w:pPr>
          </w:p>
        </w:tc>
        <w:tc>
          <w:tcPr>
            <w:tcW w:w="720" w:type="dxa"/>
            <w:vMerge/>
            <w:tcBorders>
              <w:bottom w:val="single" w:sz="12" w:space="0" w:color="000000" w:themeColor="text1"/>
              <w:right w:val="single" w:sz="12" w:space="0" w:color="000000" w:themeColor="text1"/>
            </w:tcBorders>
          </w:tcPr>
          <w:p w14:paraId="01C375DA" w14:textId="77777777" w:rsidR="002C158F" w:rsidRPr="00CF2D28" w:rsidRDefault="002C158F" w:rsidP="00170A32">
            <w:pPr>
              <w:spacing w:line="360" w:lineRule="auto"/>
              <w:rPr>
                <w:sz w:val="18"/>
                <w:szCs w:val="20"/>
              </w:rPr>
            </w:pPr>
          </w:p>
        </w:tc>
      </w:tr>
    </w:tbl>
    <w:p w14:paraId="01C37603" w14:textId="669EB4E2" w:rsidR="00EF2DC0" w:rsidRPr="002B4E56" w:rsidRDefault="00EF2DC0" w:rsidP="00974D53">
      <w:pPr>
        <w:spacing w:before="240"/>
        <w:rPr>
          <w:rFonts w:eastAsia="MS PGothic"/>
          <w:kern w:val="2"/>
          <w:sz w:val="14"/>
          <w:szCs w:val="14"/>
          <w:lang w:eastAsia="ja-JP"/>
        </w:rPr>
      </w:pPr>
    </w:p>
    <w:sectPr w:rsidR="00EF2DC0" w:rsidRPr="002B4E56" w:rsidSect="007239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D929" w14:textId="77777777" w:rsidR="0093177E" w:rsidRDefault="0093177E" w:rsidP="00161C8B">
      <w:pPr>
        <w:spacing w:after="0" w:line="240" w:lineRule="auto"/>
      </w:pPr>
      <w:r>
        <w:separator/>
      </w:r>
    </w:p>
  </w:endnote>
  <w:endnote w:type="continuationSeparator" w:id="0">
    <w:p w14:paraId="05126F01" w14:textId="77777777" w:rsidR="0093177E" w:rsidRDefault="0093177E" w:rsidP="0016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altName w:val="Arial Unicode MS"/>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Look w:val="04A0" w:firstRow="1" w:lastRow="0" w:firstColumn="1" w:lastColumn="0" w:noHBand="0" w:noVBand="1"/>
    </w:tblPr>
    <w:tblGrid>
      <w:gridCol w:w="3119"/>
      <w:gridCol w:w="2731"/>
      <w:gridCol w:w="3510"/>
    </w:tblGrid>
    <w:tr w:rsidR="001913BE" w:rsidRPr="0083299A" w14:paraId="01C37610" w14:textId="77777777" w:rsidTr="00B40BEB">
      <w:trPr>
        <w:jc w:val="center"/>
      </w:trPr>
      <w:tc>
        <w:tcPr>
          <w:tcW w:w="3119" w:type="dxa"/>
          <w:tcBorders>
            <w:top w:val="nil"/>
            <w:left w:val="nil"/>
            <w:right w:val="nil"/>
          </w:tcBorders>
          <w:vAlign w:val="center"/>
        </w:tcPr>
        <w:p w14:paraId="01C3760D" w14:textId="77777777" w:rsidR="001913BE" w:rsidRPr="0083299A" w:rsidRDefault="001913BE" w:rsidP="002F4753">
          <w:pPr>
            <w:pStyle w:val="Footer"/>
            <w:jc w:val="center"/>
            <w:rPr>
              <w:sz w:val="18"/>
              <w:szCs w:val="18"/>
            </w:rPr>
          </w:pPr>
        </w:p>
      </w:tc>
      <w:tc>
        <w:tcPr>
          <w:tcW w:w="2731" w:type="dxa"/>
          <w:tcBorders>
            <w:top w:val="nil"/>
            <w:left w:val="nil"/>
            <w:right w:val="nil"/>
          </w:tcBorders>
          <w:vAlign w:val="center"/>
        </w:tcPr>
        <w:p w14:paraId="01C3760E" w14:textId="77777777" w:rsidR="001913BE" w:rsidRPr="0083299A" w:rsidRDefault="001913BE" w:rsidP="002F4753">
          <w:pPr>
            <w:jc w:val="center"/>
          </w:pPr>
        </w:p>
      </w:tc>
      <w:tc>
        <w:tcPr>
          <w:tcW w:w="3510" w:type="dxa"/>
          <w:tcBorders>
            <w:top w:val="nil"/>
            <w:left w:val="nil"/>
            <w:right w:val="nil"/>
          </w:tcBorders>
          <w:vAlign w:val="center"/>
        </w:tcPr>
        <w:p w14:paraId="01C3760F" w14:textId="77777777" w:rsidR="001913BE" w:rsidRPr="0083299A" w:rsidRDefault="001913BE" w:rsidP="002F4753">
          <w:pPr>
            <w:pStyle w:val="Footer"/>
            <w:jc w:val="center"/>
            <w:rPr>
              <w:sz w:val="18"/>
              <w:szCs w:val="18"/>
            </w:rPr>
          </w:pPr>
        </w:p>
      </w:tc>
    </w:tr>
    <w:tr w:rsidR="001913BE" w:rsidRPr="0083299A" w14:paraId="01C37615" w14:textId="77777777" w:rsidTr="00B40BEB">
      <w:trPr>
        <w:jc w:val="center"/>
      </w:trPr>
      <w:tc>
        <w:tcPr>
          <w:tcW w:w="3119" w:type="dxa"/>
          <w:vAlign w:val="center"/>
        </w:tcPr>
        <w:p w14:paraId="01C37611" w14:textId="371B78CE" w:rsidR="001913BE" w:rsidRPr="008A1B7C" w:rsidRDefault="001913BE" w:rsidP="00B40BEB">
          <w:pPr>
            <w:pStyle w:val="Footer"/>
            <w:jc w:val="center"/>
            <w:rPr>
              <w:color w:val="000000" w:themeColor="text1"/>
              <w:sz w:val="18"/>
              <w:szCs w:val="18"/>
            </w:rPr>
          </w:pPr>
          <w:r>
            <w:rPr>
              <w:color w:val="000000"/>
              <w:sz w:val="18"/>
              <w:szCs w:val="18"/>
            </w:rPr>
            <w:t>Revision</w:t>
          </w:r>
          <w:r w:rsidRPr="002D16AB">
            <w:rPr>
              <w:color w:val="000000" w:themeColor="text1"/>
              <w:sz w:val="18"/>
              <w:szCs w:val="18"/>
            </w:rPr>
            <w:t xml:space="preserve">: </w:t>
          </w:r>
          <w:r>
            <w:rPr>
              <w:color w:val="000000" w:themeColor="text1"/>
              <w:sz w:val="18"/>
              <w:szCs w:val="18"/>
            </w:rPr>
            <w:t>AA,</w:t>
          </w:r>
          <w:r w:rsidRPr="002D16AB">
            <w:rPr>
              <w:color w:val="000000" w:themeColor="text1"/>
              <w:sz w:val="18"/>
              <w:szCs w:val="18"/>
            </w:rPr>
            <w:t xml:space="preserve"> </w:t>
          </w:r>
          <w:r>
            <w:rPr>
              <w:color w:val="000000" w:themeColor="text1"/>
              <w:sz w:val="18"/>
              <w:szCs w:val="18"/>
            </w:rPr>
            <w:t>23.</w:t>
          </w:r>
          <w:r w:rsidRPr="002D16AB">
            <w:rPr>
              <w:color w:val="000000" w:themeColor="text1"/>
              <w:sz w:val="18"/>
              <w:szCs w:val="18"/>
            </w:rPr>
            <w:t xml:space="preserve"> </w:t>
          </w:r>
          <w:proofErr w:type="spellStart"/>
          <w:r w:rsidRPr="002D16AB">
            <w:rPr>
              <w:color w:val="000000" w:themeColor="text1"/>
              <w:sz w:val="18"/>
              <w:szCs w:val="18"/>
            </w:rPr>
            <w:t>J</w:t>
          </w:r>
          <w:r>
            <w:rPr>
              <w:color w:val="000000" w:themeColor="text1"/>
              <w:sz w:val="18"/>
              <w:szCs w:val="18"/>
            </w:rPr>
            <w:t>uli</w:t>
          </w:r>
          <w:proofErr w:type="spellEnd"/>
          <w:r w:rsidRPr="002D16AB">
            <w:rPr>
              <w:color w:val="000000" w:themeColor="text1"/>
              <w:sz w:val="18"/>
              <w:szCs w:val="18"/>
            </w:rPr>
            <w:t xml:space="preserve"> 2019</w:t>
          </w:r>
        </w:p>
      </w:tc>
      <w:tc>
        <w:tcPr>
          <w:tcW w:w="2731" w:type="dxa"/>
          <w:vAlign w:val="center"/>
        </w:tcPr>
        <w:p w14:paraId="01C37612" w14:textId="6514B1B8" w:rsidR="001913BE" w:rsidRPr="002F4753" w:rsidRDefault="001913BE" w:rsidP="00B40BEB">
          <w:pPr>
            <w:jc w:val="center"/>
          </w:pPr>
          <w:proofErr w:type="spellStart"/>
          <w:r>
            <w:t>Seite</w:t>
          </w:r>
          <w:proofErr w:type="spellEnd"/>
          <w:r>
            <w:t xml:space="preserve"> </w:t>
          </w:r>
          <w:r>
            <w:fldChar w:fldCharType="begin"/>
          </w:r>
          <w:r>
            <w:instrText xml:space="preserve"> PAGE </w:instrText>
          </w:r>
          <w:r>
            <w:fldChar w:fldCharType="separate"/>
          </w:r>
          <w:r w:rsidR="00623AED">
            <w:rPr>
              <w:noProof/>
            </w:rPr>
            <w:t>18</w:t>
          </w:r>
          <w:r>
            <w:fldChar w:fldCharType="end"/>
          </w:r>
          <w:r>
            <w:t xml:space="preserve"> von </w:t>
          </w:r>
          <w:fldSimple w:instr=" NUMPAGES  ">
            <w:r w:rsidR="00623AED">
              <w:rPr>
                <w:noProof/>
              </w:rPr>
              <w:t>18</w:t>
            </w:r>
          </w:fldSimple>
        </w:p>
      </w:tc>
      <w:tc>
        <w:tcPr>
          <w:tcW w:w="3510" w:type="dxa"/>
          <w:vAlign w:val="center"/>
        </w:tcPr>
        <w:p w14:paraId="58B5D90C" w14:textId="77777777" w:rsidR="001913BE" w:rsidRPr="004E46E3" w:rsidRDefault="001913BE" w:rsidP="00B40BEB">
          <w:pPr>
            <w:pStyle w:val="Footer"/>
            <w:jc w:val="center"/>
            <w:rPr>
              <w:sz w:val="18"/>
              <w:szCs w:val="18"/>
              <w:lang w:val="de-DE"/>
            </w:rPr>
          </w:pPr>
          <w:r w:rsidRPr="004E46E3">
            <w:rPr>
              <w:sz w:val="18"/>
              <w:szCs w:val="18"/>
              <w:lang w:val="de-DE"/>
            </w:rPr>
            <w:t>Keine Versionskontrolle für Ausdrucke</w:t>
          </w:r>
        </w:p>
        <w:p w14:paraId="01C37614" w14:textId="5354962C" w:rsidR="001913BE" w:rsidRPr="0083299A" w:rsidRDefault="001913BE" w:rsidP="00B40BEB">
          <w:pPr>
            <w:pStyle w:val="Footer"/>
            <w:jc w:val="center"/>
            <w:rPr>
              <w:sz w:val="18"/>
              <w:szCs w:val="18"/>
            </w:rPr>
          </w:pPr>
          <w:r w:rsidRPr="004E46E3">
            <w:rPr>
              <w:sz w:val="18"/>
              <w:szCs w:val="18"/>
              <w:lang w:val="de-DE"/>
            </w:rPr>
            <w:t>Unbefugte Vervielfältigung untersagt</w:t>
          </w:r>
        </w:p>
      </w:tc>
    </w:tr>
  </w:tbl>
  <w:p w14:paraId="01C37616" w14:textId="77777777" w:rsidR="001913BE" w:rsidRDefault="001913BE" w:rsidP="00F7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FD73" w14:textId="77777777" w:rsidR="0093177E" w:rsidRDefault="0093177E" w:rsidP="00161C8B">
      <w:pPr>
        <w:spacing w:after="0" w:line="240" w:lineRule="auto"/>
      </w:pPr>
      <w:r>
        <w:separator/>
      </w:r>
    </w:p>
  </w:footnote>
  <w:footnote w:type="continuationSeparator" w:id="0">
    <w:p w14:paraId="69C769FC" w14:textId="77777777" w:rsidR="0093177E" w:rsidRDefault="0093177E" w:rsidP="0016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677"/>
    </w:tblGrid>
    <w:tr w:rsidR="001913BE" w14:paraId="01C3760A" w14:textId="77777777" w:rsidTr="0083299A">
      <w:trPr>
        <w:jc w:val="center"/>
      </w:trPr>
      <w:tc>
        <w:tcPr>
          <w:tcW w:w="1728" w:type="dxa"/>
        </w:tcPr>
        <w:p w14:paraId="01C37608" w14:textId="256CE389" w:rsidR="001913BE" w:rsidRDefault="001913BE" w:rsidP="002402CA">
          <w:pPr>
            <w:pStyle w:val="Header"/>
          </w:pPr>
          <w:r>
            <w:rPr>
              <w:noProof/>
              <w:szCs w:val="20"/>
            </w:rPr>
            <w:drawing>
              <wp:anchor distT="0" distB="0" distL="114300" distR="114300" simplePos="0" relativeHeight="251657216" behindDoc="0" locked="0" layoutInCell="1" allowOverlap="1" wp14:anchorId="69979587" wp14:editId="1994A68B">
                <wp:simplePos x="0" y="0"/>
                <wp:positionH relativeFrom="column">
                  <wp:posOffset>-66675</wp:posOffset>
                </wp:positionH>
                <wp:positionV relativeFrom="paragraph">
                  <wp:posOffset>-85725</wp:posOffset>
                </wp:positionV>
                <wp:extent cx="950976" cy="493776"/>
                <wp:effectExtent l="0" t="0" r="1905" b="1905"/>
                <wp:wrapNone/>
                <wp:docPr id="1" name="Picture 1" descr="XR-P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P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76" cy="49377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48" w:type="dxa"/>
        </w:tcPr>
        <w:p w14:paraId="01C37609" w14:textId="05D01ABA" w:rsidR="001913BE" w:rsidRPr="006804CF" w:rsidRDefault="001913BE" w:rsidP="00C20A43">
          <w:pPr>
            <w:pStyle w:val="Header"/>
            <w:ind w:left="-108"/>
            <w:jc w:val="center"/>
          </w:pPr>
          <w:r w:rsidRPr="004E46E3">
            <w:rPr>
              <w:sz w:val="20"/>
              <w:lang w:val="de-DE"/>
            </w:rPr>
            <w:t>ENV70 - Globale Umweltspezifikationen für Produkte und Komponenten (GPCSE)</w:t>
          </w:r>
        </w:p>
      </w:tc>
    </w:tr>
  </w:tbl>
  <w:p w14:paraId="01C3760B" w14:textId="77777777" w:rsidR="001913BE" w:rsidRDefault="001913BE" w:rsidP="0083299A">
    <w:pPr>
      <w:pStyle w:val="Header"/>
    </w:pPr>
  </w:p>
  <w:p w14:paraId="01C3760C" w14:textId="77777777" w:rsidR="001913BE" w:rsidRPr="0083299A" w:rsidRDefault="001913BE" w:rsidP="00832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A377F"/>
    <w:multiLevelType w:val="hybridMultilevel"/>
    <w:tmpl w:val="FE62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409BF"/>
    <w:multiLevelType w:val="hybridMultilevel"/>
    <w:tmpl w:val="5C7A2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4B2BC1"/>
    <w:multiLevelType w:val="hybridMultilevel"/>
    <w:tmpl w:val="A0C63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3D04CC"/>
    <w:multiLevelType w:val="hybridMultilevel"/>
    <w:tmpl w:val="8C10A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057045"/>
    <w:multiLevelType w:val="hybridMultilevel"/>
    <w:tmpl w:val="9ABE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BC6F08"/>
    <w:multiLevelType w:val="hybridMultilevel"/>
    <w:tmpl w:val="AFD06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D34E93"/>
    <w:multiLevelType w:val="hybridMultilevel"/>
    <w:tmpl w:val="5AC0F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102B9D"/>
    <w:multiLevelType w:val="hybridMultilevel"/>
    <w:tmpl w:val="D396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0323D3"/>
    <w:multiLevelType w:val="hybridMultilevel"/>
    <w:tmpl w:val="8D1620F8"/>
    <w:lvl w:ilvl="0" w:tplc="11F0A5CC">
      <w:start w:val="1"/>
      <w:numFmt w:val="bullet"/>
      <w:lvlText w:val=""/>
      <w:lvlJc w:val="left"/>
      <w:pPr>
        <w:ind w:left="360" w:hanging="360"/>
      </w:pPr>
      <w:rPr>
        <w:rFonts w:ascii="Symbol" w:hAnsi="Symbol" w:hint="default"/>
      </w:rPr>
    </w:lvl>
    <w:lvl w:ilvl="1" w:tplc="0A2C9072" w:tentative="1">
      <w:start w:val="1"/>
      <w:numFmt w:val="bullet"/>
      <w:lvlText w:val="o"/>
      <w:lvlJc w:val="left"/>
      <w:pPr>
        <w:ind w:left="1080" w:hanging="360"/>
      </w:pPr>
      <w:rPr>
        <w:rFonts w:ascii="Courier New" w:hAnsi="Courier New" w:cs="Courier New" w:hint="default"/>
      </w:rPr>
    </w:lvl>
    <w:lvl w:ilvl="2" w:tplc="E034B6EA" w:tentative="1">
      <w:start w:val="1"/>
      <w:numFmt w:val="bullet"/>
      <w:lvlText w:val=""/>
      <w:lvlJc w:val="left"/>
      <w:pPr>
        <w:ind w:left="1800" w:hanging="360"/>
      </w:pPr>
      <w:rPr>
        <w:rFonts w:ascii="Wingdings" w:hAnsi="Wingdings" w:hint="default"/>
      </w:rPr>
    </w:lvl>
    <w:lvl w:ilvl="3" w:tplc="B038EE4C" w:tentative="1">
      <w:start w:val="1"/>
      <w:numFmt w:val="bullet"/>
      <w:lvlText w:val=""/>
      <w:lvlJc w:val="left"/>
      <w:pPr>
        <w:ind w:left="2520" w:hanging="360"/>
      </w:pPr>
      <w:rPr>
        <w:rFonts w:ascii="Symbol" w:hAnsi="Symbol" w:hint="default"/>
      </w:rPr>
    </w:lvl>
    <w:lvl w:ilvl="4" w:tplc="8E1A20AA" w:tentative="1">
      <w:start w:val="1"/>
      <w:numFmt w:val="bullet"/>
      <w:lvlText w:val="o"/>
      <w:lvlJc w:val="left"/>
      <w:pPr>
        <w:ind w:left="3240" w:hanging="360"/>
      </w:pPr>
      <w:rPr>
        <w:rFonts w:ascii="Courier New" w:hAnsi="Courier New" w:cs="Courier New" w:hint="default"/>
      </w:rPr>
    </w:lvl>
    <w:lvl w:ilvl="5" w:tplc="866C5104" w:tentative="1">
      <w:start w:val="1"/>
      <w:numFmt w:val="bullet"/>
      <w:lvlText w:val=""/>
      <w:lvlJc w:val="left"/>
      <w:pPr>
        <w:ind w:left="3960" w:hanging="360"/>
      </w:pPr>
      <w:rPr>
        <w:rFonts w:ascii="Wingdings" w:hAnsi="Wingdings" w:hint="default"/>
      </w:rPr>
    </w:lvl>
    <w:lvl w:ilvl="6" w:tplc="7604DA98" w:tentative="1">
      <w:start w:val="1"/>
      <w:numFmt w:val="bullet"/>
      <w:lvlText w:val=""/>
      <w:lvlJc w:val="left"/>
      <w:pPr>
        <w:ind w:left="4680" w:hanging="360"/>
      </w:pPr>
      <w:rPr>
        <w:rFonts w:ascii="Symbol" w:hAnsi="Symbol" w:hint="default"/>
      </w:rPr>
    </w:lvl>
    <w:lvl w:ilvl="7" w:tplc="A49EDFEA" w:tentative="1">
      <w:start w:val="1"/>
      <w:numFmt w:val="bullet"/>
      <w:lvlText w:val="o"/>
      <w:lvlJc w:val="left"/>
      <w:pPr>
        <w:ind w:left="5400" w:hanging="360"/>
      </w:pPr>
      <w:rPr>
        <w:rFonts w:ascii="Courier New" w:hAnsi="Courier New" w:cs="Courier New" w:hint="default"/>
      </w:rPr>
    </w:lvl>
    <w:lvl w:ilvl="8" w:tplc="C0A64AEC" w:tentative="1">
      <w:start w:val="1"/>
      <w:numFmt w:val="bullet"/>
      <w:lvlText w:val=""/>
      <w:lvlJc w:val="left"/>
      <w:pPr>
        <w:ind w:left="6120" w:hanging="360"/>
      </w:pPr>
      <w:rPr>
        <w:rFonts w:ascii="Wingdings" w:hAnsi="Wingdings" w:hint="default"/>
      </w:rPr>
    </w:lvl>
  </w:abstractNum>
  <w:abstractNum w:abstractNumId="9" w15:restartNumberingAfterBreak="0">
    <w:nsid w:val="6B1D04DA"/>
    <w:multiLevelType w:val="hybridMultilevel"/>
    <w:tmpl w:val="B7D8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C72A36"/>
    <w:multiLevelType w:val="hybridMultilevel"/>
    <w:tmpl w:val="C51EAE8C"/>
    <w:lvl w:ilvl="0" w:tplc="65A61BE8">
      <w:start w:val="1"/>
      <w:numFmt w:val="bullet"/>
      <w:pStyle w:val="s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5A5796"/>
    <w:multiLevelType w:val="hybridMultilevel"/>
    <w:tmpl w:val="D8C0EDFC"/>
    <w:lvl w:ilvl="0" w:tplc="5ABE8756">
      <w:start w:val="1"/>
      <w:numFmt w:val="bullet"/>
      <w:lvlText w:val=""/>
      <w:lvlJc w:val="left"/>
      <w:pPr>
        <w:ind w:left="360" w:hanging="360"/>
      </w:pPr>
      <w:rPr>
        <w:rFonts w:ascii="Symbol" w:hAnsi="Symbol" w:hint="default"/>
      </w:rPr>
    </w:lvl>
    <w:lvl w:ilvl="1" w:tplc="7C60F4B6" w:tentative="1">
      <w:start w:val="1"/>
      <w:numFmt w:val="bullet"/>
      <w:lvlText w:val="o"/>
      <w:lvlJc w:val="left"/>
      <w:pPr>
        <w:ind w:left="1080" w:hanging="360"/>
      </w:pPr>
      <w:rPr>
        <w:rFonts w:ascii="Courier New" w:hAnsi="Courier New" w:cs="Courier New" w:hint="default"/>
      </w:rPr>
    </w:lvl>
    <w:lvl w:ilvl="2" w:tplc="7AA8073C" w:tentative="1">
      <w:start w:val="1"/>
      <w:numFmt w:val="bullet"/>
      <w:lvlText w:val=""/>
      <w:lvlJc w:val="left"/>
      <w:pPr>
        <w:ind w:left="1800" w:hanging="360"/>
      </w:pPr>
      <w:rPr>
        <w:rFonts w:ascii="Wingdings" w:hAnsi="Wingdings" w:hint="default"/>
      </w:rPr>
    </w:lvl>
    <w:lvl w:ilvl="3" w:tplc="D396B0C8" w:tentative="1">
      <w:start w:val="1"/>
      <w:numFmt w:val="bullet"/>
      <w:lvlText w:val=""/>
      <w:lvlJc w:val="left"/>
      <w:pPr>
        <w:ind w:left="2520" w:hanging="360"/>
      </w:pPr>
      <w:rPr>
        <w:rFonts w:ascii="Symbol" w:hAnsi="Symbol" w:hint="default"/>
      </w:rPr>
    </w:lvl>
    <w:lvl w:ilvl="4" w:tplc="822C3B04" w:tentative="1">
      <w:start w:val="1"/>
      <w:numFmt w:val="bullet"/>
      <w:lvlText w:val="o"/>
      <w:lvlJc w:val="left"/>
      <w:pPr>
        <w:ind w:left="3240" w:hanging="360"/>
      </w:pPr>
      <w:rPr>
        <w:rFonts w:ascii="Courier New" w:hAnsi="Courier New" w:cs="Courier New" w:hint="default"/>
      </w:rPr>
    </w:lvl>
    <w:lvl w:ilvl="5" w:tplc="8F3C7640" w:tentative="1">
      <w:start w:val="1"/>
      <w:numFmt w:val="bullet"/>
      <w:lvlText w:val=""/>
      <w:lvlJc w:val="left"/>
      <w:pPr>
        <w:ind w:left="3960" w:hanging="360"/>
      </w:pPr>
      <w:rPr>
        <w:rFonts w:ascii="Wingdings" w:hAnsi="Wingdings" w:hint="default"/>
      </w:rPr>
    </w:lvl>
    <w:lvl w:ilvl="6" w:tplc="FFAAC85C" w:tentative="1">
      <w:start w:val="1"/>
      <w:numFmt w:val="bullet"/>
      <w:lvlText w:val=""/>
      <w:lvlJc w:val="left"/>
      <w:pPr>
        <w:ind w:left="4680" w:hanging="360"/>
      </w:pPr>
      <w:rPr>
        <w:rFonts w:ascii="Symbol" w:hAnsi="Symbol" w:hint="default"/>
      </w:rPr>
    </w:lvl>
    <w:lvl w:ilvl="7" w:tplc="132A9FC0" w:tentative="1">
      <w:start w:val="1"/>
      <w:numFmt w:val="bullet"/>
      <w:lvlText w:val="o"/>
      <w:lvlJc w:val="left"/>
      <w:pPr>
        <w:ind w:left="5400" w:hanging="360"/>
      </w:pPr>
      <w:rPr>
        <w:rFonts w:ascii="Courier New" w:hAnsi="Courier New" w:cs="Courier New" w:hint="default"/>
      </w:rPr>
    </w:lvl>
    <w:lvl w:ilvl="8" w:tplc="39D8A2E2" w:tentative="1">
      <w:start w:val="1"/>
      <w:numFmt w:val="bullet"/>
      <w:lvlText w:val=""/>
      <w:lvlJc w:val="left"/>
      <w:pPr>
        <w:ind w:left="6120" w:hanging="360"/>
      </w:pPr>
      <w:rPr>
        <w:rFonts w:ascii="Wingdings" w:hAnsi="Wingdings" w:hint="default"/>
      </w:rPr>
    </w:lvl>
  </w:abstractNum>
  <w:abstractNum w:abstractNumId="12" w15:restartNumberingAfterBreak="0">
    <w:nsid w:val="7E043E84"/>
    <w:multiLevelType w:val="hybridMultilevel"/>
    <w:tmpl w:val="01928674"/>
    <w:lvl w:ilvl="0" w:tplc="0B54042A">
      <w:start w:val="1"/>
      <w:numFmt w:val="decimal"/>
      <w:lvlText w:val="%1."/>
      <w:lvlJc w:val="left"/>
      <w:pPr>
        <w:ind w:left="360" w:hanging="360"/>
      </w:pPr>
      <w:rPr>
        <w:rFonts w:hint="default"/>
      </w:rPr>
    </w:lvl>
    <w:lvl w:ilvl="1" w:tplc="1F4AC308">
      <w:start w:val="1"/>
      <w:numFmt w:val="lowerLetter"/>
      <w:lvlText w:val="%2."/>
      <w:lvlJc w:val="left"/>
      <w:pPr>
        <w:ind w:left="1440" w:hanging="360"/>
      </w:pPr>
    </w:lvl>
    <w:lvl w:ilvl="2" w:tplc="AD24C820" w:tentative="1">
      <w:start w:val="1"/>
      <w:numFmt w:val="lowerRoman"/>
      <w:lvlText w:val="%3."/>
      <w:lvlJc w:val="right"/>
      <w:pPr>
        <w:ind w:left="2160" w:hanging="180"/>
      </w:pPr>
    </w:lvl>
    <w:lvl w:ilvl="3" w:tplc="F9F4A454" w:tentative="1">
      <w:start w:val="1"/>
      <w:numFmt w:val="decimal"/>
      <w:lvlText w:val="%4."/>
      <w:lvlJc w:val="left"/>
      <w:pPr>
        <w:ind w:left="2880" w:hanging="360"/>
      </w:pPr>
    </w:lvl>
    <w:lvl w:ilvl="4" w:tplc="D4C64418" w:tentative="1">
      <w:start w:val="1"/>
      <w:numFmt w:val="lowerLetter"/>
      <w:lvlText w:val="%5."/>
      <w:lvlJc w:val="left"/>
      <w:pPr>
        <w:ind w:left="3600" w:hanging="360"/>
      </w:pPr>
    </w:lvl>
    <w:lvl w:ilvl="5" w:tplc="A162DAE2" w:tentative="1">
      <w:start w:val="1"/>
      <w:numFmt w:val="lowerRoman"/>
      <w:lvlText w:val="%6."/>
      <w:lvlJc w:val="right"/>
      <w:pPr>
        <w:ind w:left="4320" w:hanging="180"/>
      </w:pPr>
    </w:lvl>
    <w:lvl w:ilvl="6" w:tplc="BE4E502C" w:tentative="1">
      <w:start w:val="1"/>
      <w:numFmt w:val="decimal"/>
      <w:lvlText w:val="%7."/>
      <w:lvlJc w:val="left"/>
      <w:pPr>
        <w:ind w:left="5040" w:hanging="360"/>
      </w:pPr>
    </w:lvl>
    <w:lvl w:ilvl="7" w:tplc="35D0CF66" w:tentative="1">
      <w:start w:val="1"/>
      <w:numFmt w:val="lowerLetter"/>
      <w:lvlText w:val="%8."/>
      <w:lvlJc w:val="left"/>
      <w:pPr>
        <w:ind w:left="5760" w:hanging="360"/>
      </w:pPr>
    </w:lvl>
    <w:lvl w:ilvl="8" w:tplc="012EA0EC"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9"/>
  </w:num>
  <w:num w:numId="5">
    <w:abstractNumId w:val="6"/>
  </w:num>
  <w:num w:numId="6">
    <w:abstractNumId w:val="1"/>
  </w:num>
  <w:num w:numId="7">
    <w:abstractNumId w:val="5"/>
  </w:num>
  <w:num w:numId="8">
    <w:abstractNumId w:val="4"/>
  </w:num>
  <w:num w:numId="9">
    <w:abstractNumId w:val="7"/>
  </w:num>
  <w:num w:numId="10">
    <w:abstractNumId w:val="12"/>
  </w:num>
  <w:num w:numId="11">
    <w:abstractNumId w:val="3"/>
  </w:num>
  <w:num w:numId="12">
    <w:abstractNumId w:va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8B"/>
    <w:rsid w:val="0000750A"/>
    <w:rsid w:val="000167F9"/>
    <w:rsid w:val="0002281B"/>
    <w:rsid w:val="0002378E"/>
    <w:rsid w:val="00023A8E"/>
    <w:rsid w:val="00023E82"/>
    <w:rsid w:val="00025A7A"/>
    <w:rsid w:val="00026995"/>
    <w:rsid w:val="00030649"/>
    <w:rsid w:val="00030736"/>
    <w:rsid w:val="00030D60"/>
    <w:rsid w:val="00037E6E"/>
    <w:rsid w:val="000406D7"/>
    <w:rsid w:val="000437EE"/>
    <w:rsid w:val="00044603"/>
    <w:rsid w:val="000510A8"/>
    <w:rsid w:val="000524BD"/>
    <w:rsid w:val="00056553"/>
    <w:rsid w:val="0005787A"/>
    <w:rsid w:val="00061029"/>
    <w:rsid w:val="0006474D"/>
    <w:rsid w:val="00065324"/>
    <w:rsid w:val="00065442"/>
    <w:rsid w:val="00072858"/>
    <w:rsid w:val="000747D9"/>
    <w:rsid w:val="000771FF"/>
    <w:rsid w:val="00080143"/>
    <w:rsid w:val="00080903"/>
    <w:rsid w:val="00081DEF"/>
    <w:rsid w:val="0008314E"/>
    <w:rsid w:val="00084390"/>
    <w:rsid w:val="00085CAB"/>
    <w:rsid w:val="00092523"/>
    <w:rsid w:val="00094E4C"/>
    <w:rsid w:val="00095DCD"/>
    <w:rsid w:val="000A5DE2"/>
    <w:rsid w:val="000A7A3D"/>
    <w:rsid w:val="000B03B0"/>
    <w:rsid w:val="000B290D"/>
    <w:rsid w:val="000B5A74"/>
    <w:rsid w:val="000B5B97"/>
    <w:rsid w:val="000C0F11"/>
    <w:rsid w:val="000C4417"/>
    <w:rsid w:val="000C6EA3"/>
    <w:rsid w:val="000D13C4"/>
    <w:rsid w:val="000D15DF"/>
    <w:rsid w:val="000D218D"/>
    <w:rsid w:val="000D7BE7"/>
    <w:rsid w:val="000D7DE1"/>
    <w:rsid w:val="000E44A4"/>
    <w:rsid w:val="000E4BA5"/>
    <w:rsid w:val="000F5C9E"/>
    <w:rsid w:val="00100203"/>
    <w:rsid w:val="00100D7D"/>
    <w:rsid w:val="001024EC"/>
    <w:rsid w:val="0010268E"/>
    <w:rsid w:val="001046F9"/>
    <w:rsid w:val="00106A19"/>
    <w:rsid w:val="00107BC5"/>
    <w:rsid w:val="001107EB"/>
    <w:rsid w:val="00110917"/>
    <w:rsid w:val="001114E9"/>
    <w:rsid w:val="00114F1A"/>
    <w:rsid w:val="00122661"/>
    <w:rsid w:val="00124F2C"/>
    <w:rsid w:val="00126EFD"/>
    <w:rsid w:val="001279B8"/>
    <w:rsid w:val="00130C9E"/>
    <w:rsid w:val="00131411"/>
    <w:rsid w:val="00135E90"/>
    <w:rsid w:val="00143CD5"/>
    <w:rsid w:val="00144B6D"/>
    <w:rsid w:val="00146DB3"/>
    <w:rsid w:val="00150D59"/>
    <w:rsid w:val="00154269"/>
    <w:rsid w:val="001571DE"/>
    <w:rsid w:val="00157C95"/>
    <w:rsid w:val="001601C4"/>
    <w:rsid w:val="0016141B"/>
    <w:rsid w:val="00161C8B"/>
    <w:rsid w:val="0016329F"/>
    <w:rsid w:val="001642A5"/>
    <w:rsid w:val="00165455"/>
    <w:rsid w:val="0016551A"/>
    <w:rsid w:val="00166C10"/>
    <w:rsid w:val="00167F44"/>
    <w:rsid w:val="00170A32"/>
    <w:rsid w:val="001726EF"/>
    <w:rsid w:val="00182A7B"/>
    <w:rsid w:val="00185123"/>
    <w:rsid w:val="00187BDA"/>
    <w:rsid w:val="00187E8A"/>
    <w:rsid w:val="001913BE"/>
    <w:rsid w:val="0019323D"/>
    <w:rsid w:val="001941FA"/>
    <w:rsid w:val="0019426A"/>
    <w:rsid w:val="00194EF2"/>
    <w:rsid w:val="00195575"/>
    <w:rsid w:val="00196A44"/>
    <w:rsid w:val="00197B7F"/>
    <w:rsid w:val="001A6800"/>
    <w:rsid w:val="001A7430"/>
    <w:rsid w:val="001A74AD"/>
    <w:rsid w:val="001B0329"/>
    <w:rsid w:val="001B3021"/>
    <w:rsid w:val="001B3BAF"/>
    <w:rsid w:val="001B5B6D"/>
    <w:rsid w:val="001C252F"/>
    <w:rsid w:val="001C2EEE"/>
    <w:rsid w:val="001C4BD8"/>
    <w:rsid w:val="001C5811"/>
    <w:rsid w:val="001D40F1"/>
    <w:rsid w:val="001D5169"/>
    <w:rsid w:val="001D5BC4"/>
    <w:rsid w:val="001D62B6"/>
    <w:rsid w:val="001D717B"/>
    <w:rsid w:val="001E0543"/>
    <w:rsid w:val="001E6563"/>
    <w:rsid w:val="001E79FD"/>
    <w:rsid w:val="001F078D"/>
    <w:rsid w:val="001F14F5"/>
    <w:rsid w:val="001F1BDD"/>
    <w:rsid w:val="001F292D"/>
    <w:rsid w:val="001F46F1"/>
    <w:rsid w:val="001F4814"/>
    <w:rsid w:val="001F4F0D"/>
    <w:rsid w:val="001F53FB"/>
    <w:rsid w:val="0020110F"/>
    <w:rsid w:val="00201A83"/>
    <w:rsid w:val="0020280D"/>
    <w:rsid w:val="002033DD"/>
    <w:rsid w:val="0021324C"/>
    <w:rsid w:val="002160AA"/>
    <w:rsid w:val="0021614E"/>
    <w:rsid w:val="00220EEE"/>
    <w:rsid w:val="00232E37"/>
    <w:rsid w:val="00234096"/>
    <w:rsid w:val="00236E28"/>
    <w:rsid w:val="002402CA"/>
    <w:rsid w:val="00240345"/>
    <w:rsid w:val="0024591C"/>
    <w:rsid w:val="002464DE"/>
    <w:rsid w:val="00247F32"/>
    <w:rsid w:val="0025065B"/>
    <w:rsid w:val="0026073A"/>
    <w:rsid w:val="002621A3"/>
    <w:rsid w:val="00262959"/>
    <w:rsid w:val="002669BA"/>
    <w:rsid w:val="002709C2"/>
    <w:rsid w:val="00270E80"/>
    <w:rsid w:val="002714E9"/>
    <w:rsid w:val="0027340F"/>
    <w:rsid w:val="00275D14"/>
    <w:rsid w:val="00277B8E"/>
    <w:rsid w:val="002818E6"/>
    <w:rsid w:val="002835B1"/>
    <w:rsid w:val="00284C1E"/>
    <w:rsid w:val="002867A6"/>
    <w:rsid w:val="002867AC"/>
    <w:rsid w:val="00294A32"/>
    <w:rsid w:val="0029771E"/>
    <w:rsid w:val="002A03BF"/>
    <w:rsid w:val="002A0824"/>
    <w:rsid w:val="002A420F"/>
    <w:rsid w:val="002A4EB1"/>
    <w:rsid w:val="002A6DFD"/>
    <w:rsid w:val="002B0479"/>
    <w:rsid w:val="002B2030"/>
    <w:rsid w:val="002B24D4"/>
    <w:rsid w:val="002B2BAD"/>
    <w:rsid w:val="002B4C94"/>
    <w:rsid w:val="002B4E56"/>
    <w:rsid w:val="002B6083"/>
    <w:rsid w:val="002B6243"/>
    <w:rsid w:val="002B7839"/>
    <w:rsid w:val="002B7FE7"/>
    <w:rsid w:val="002C158F"/>
    <w:rsid w:val="002C2C2E"/>
    <w:rsid w:val="002D090F"/>
    <w:rsid w:val="002D16AB"/>
    <w:rsid w:val="002D1F8D"/>
    <w:rsid w:val="002D304D"/>
    <w:rsid w:val="002D51CF"/>
    <w:rsid w:val="002D5734"/>
    <w:rsid w:val="002E4012"/>
    <w:rsid w:val="002E7EC5"/>
    <w:rsid w:val="002F333B"/>
    <w:rsid w:val="002F4753"/>
    <w:rsid w:val="002F77B3"/>
    <w:rsid w:val="00301B17"/>
    <w:rsid w:val="00302706"/>
    <w:rsid w:val="00302989"/>
    <w:rsid w:val="00305D9A"/>
    <w:rsid w:val="0030600A"/>
    <w:rsid w:val="00306C2C"/>
    <w:rsid w:val="00311764"/>
    <w:rsid w:val="0031219A"/>
    <w:rsid w:val="003137CC"/>
    <w:rsid w:val="00314B7C"/>
    <w:rsid w:val="00321B85"/>
    <w:rsid w:val="00323A02"/>
    <w:rsid w:val="0032704A"/>
    <w:rsid w:val="00327EFF"/>
    <w:rsid w:val="00331AB9"/>
    <w:rsid w:val="00332D2E"/>
    <w:rsid w:val="00332FEA"/>
    <w:rsid w:val="00337C18"/>
    <w:rsid w:val="003411EF"/>
    <w:rsid w:val="003427E4"/>
    <w:rsid w:val="00344B22"/>
    <w:rsid w:val="00351190"/>
    <w:rsid w:val="00353291"/>
    <w:rsid w:val="00355591"/>
    <w:rsid w:val="00363C7D"/>
    <w:rsid w:val="00364658"/>
    <w:rsid w:val="00366ECC"/>
    <w:rsid w:val="003676CB"/>
    <w:rsid w:val="00375A16"/>
    <w:rsid w:val="00375FD2"/>
    <w:rsid w:val="00376331"/>
    <w:rsid w:val="003773BA"/>
    <w:rsid w:val="00380FE2"/>
    <w:rsid w:val="00383989"/>
    <w:rsid w:val="00383A56"/>
    <w:rsid w:val="00386D43"/>
    <w:rsid w:val="00387436"/>
    <w:rsid w:val="0038743A"/>
    <w:rsid w:val="003932EF"/>
    <w:rsid w:val="00396497"/>
    <w:rsid w:val="003A2552"/>
    <w:rsid w:val="003A5EE9"/>
    <w:rsid w:val="003B2FBE"/>
    <w:rsid w:val="003B5B16"/>
    <w:rsid w:val="003C0364"/>
    <w:rsid w:val="003C1FD0"/>
    <w:rsid w:val="003C406B"/>
    <w:rsid w:val="003C45A8"/>
    <w:rsid w:val="003D2B7B"/>
    <w:rsid w:val="003D403A"/>
    <w:rsid w:val="003D5B90"/>
    <w:rsid w:val="003E5621"/>
    <w:rsid w:val="003E61C1"/>
    <w:rsid w:val="003E751B"/>
    <w:rsid w:val="003E7A23"/>
    <w:rsid w:val="003E7EB2"/>
    <w:rsid w:val="003F6F52"/>
    <w:rsid w:val="00400460"/>
    <w:rsid w:val="004035FD"/>
    <w:rsid w:val="00407380"/>
    <w:rsid w:val="0041393F"/>
    <w:rsid w:val="00414655"/>
    <w:rsid w:val="00414C52"/>
    <w:rsid w:val="0041537D"/>
    <w:rsid w:val="004160BC"/>
    <w:rsid w:val="0041613A"/>
    <w:rsid w:val="00416A4D"/>
    <w:rsid w:val="0041725A"/>
    <w:rsid w:val="00421282"/>
    <w:rsid w:val="0042190E"/>
    <w:rsid w:val="00426993"/>
    <w:rsid w:val="00427DD0"/>
    <w:rsid w:val="00433BB7"/>
    <w:rsid w:val="00435062"/>
    <w:rsid w:val="00435B58"/>
    <w:rsid w:val="00436254"/>
    <w:rsid w:val="00440237"/>
    <w:rsid w:val="00441226"/>
    <w:rsid w:val="00441DA8"/>
    <w:rsid w:val="00445FA3"/>
    <w:rsid w:val="0045217C"/>
    <w:rsid w:val="00461879"/>
    <w:rsid w:val="004708BD"/>
    <w:rsid w:val="004710F1"/>
    <w:rsid w:val="0047333F"/>
    <w:rsid w:val="00475E34"/>
    <w:rsid w:val="004842D3"/>
    <w:rsid w:val="0048782E"/>
    <w:rsid w:val="004972BF"/>
    <w:rsid w:val="004A38CF"/>
    <w:rsid w:val="004A3DD9"/>
    <w:rsid w:val="004B04B0"/>
    <w:rsid w:val="004B5404"/>
    <w:rsid w:val="004B7C92"/>
    <w:rsid w:val="004C01CE"/>
    <w:rsid w:val="004C1F86"/>
    <w:rsid w:val="004C2E65"/>
    <w:rsid w:val="004C4AB0"/>
    <w:rsid w:val="004C4F16"/>
    <w:rsid w:val="004C6A29"/>
    <w:rsid w:val="004C7520"/>
    <w:rsid w:val="004D1376"/>
    <w:rsid w:val="004D7582"/>
    <w:rsid w:val="004D75F7"/>
    <w:rsid w:val="004E1954"/>
    <w:rsid w:val="004E2686"/>
    <w:rsid w:val="004E47DF"/>
    <w:rsid w:val="004E5EDF"/>
    <w:rsid w:val="004F0FB5"/>
    <w:rsid w:val="004F1EFD"/>
    <w:rsid w:val="004F4122"/>
    <w:rsid w:val="004F643C"/>
    <w:rsid w:val="005012E8"/>
    <w:rsid w:val="005035CF"/>
    <w:rsid w:val="0050469E"/>
    <w:rsid w:val="005167FD"/>
    <w:rsid w:val="005203BF"/>
    <w:rsid w:val="00523338"/>
    <w:rsid w:val="005250AD"/>
    <w:rsid w:val="00526549"/>
    <w:rsid w:val="005275EA"/>
    <w:rsid w:val="00527629"/>
    <w:rsid w:val="00532EB8"/>
    <w:rsid w:val="00533631"/>
    <w:rsid w:val="00542D68"/>
    <w:rsid w:val="00543817"/>
    <w:rsid w:val="00544279"/>
    <w:rsid w:val="00544F8E"/>
    <w:rsid w:val="005467CB"/>
    <w:rsid w:val="00552FBC"/>
    <w:rsid w:val="00554C3E"/>
    <w:rsid w:val="0056043C"/>
    <w:rsid w:val="00560C27"/>
    <w:rsid w:val="0056791C"/>
    <w:rsid w:val="00573ABC"/>
    <w:rsid w:val="005757CC"/>
    <w:rsid w:val="00577335"/>
    <w:rsid w:val="00577BB3"/>
    <w:rsid w:val="005812E2"/>
    <w:rsid w:val="00587DA7"/>
    <w:rsid w:val="00591564"/>
    <w:rsid w:val="00591DBB"/>
    <w:rsid w:val="00592D65"/>
    <w:rsid w:val="00595CF0"/>
    <w:rsid w:val="005974DC"/>
    <w:rsid w:val="005A0533"/>
    <w:rsid w:val="005A4DF4"/>
    <w:rsid w:val="005A78B7"/>
    <w:rsid w:val="005B0877"/>
    <w:rsid w:val="005B274D"/>
    <w:rsid w:val="005B379F"/>
    <w:rsid w:val="005B45F5"/>
    <w:rsid w:val="005C28BD"/>
    <w:rsid w:val="005C5560"/>
    <w:rsid w:val="005C579A"/>
    <w:rsid w:val="005C58C2"/>
    <w:rsid w:val="005D3ED4"/>
    <w:rsid w:val="005D4BB6"/>
    <w:rsid w:val="005D6252"/>
    <w:rsid w:val="005D7527"/>
    <w:rsid w:val="005E4993"/>
    <w:rsid w:val="005E50A8"/>
    <w:rsid w:val="005E50D4"/>
    <w:rsid w:val="005E58DC"/>
    <w:rsid w:val="005E62FF"/>
    <w:rsid w:val="005E649D"/>
    <w:rsid w:val="005E66B5"/>
    <w:rsid w:val="005F33FF"/>
    <w:rsid w:val="005F410F"/>
    <w:rsid w:val="0060134F"/>
    <w:rsid w:val="00604A70"/>
    <w:rsid w:val="00605896"/>
    <w:rsid w:val="006058F9"/>
    <w:rsid w:val="00623AED"/>
    <w:rsid w:val="006240E9"/>
    <w:rsid w:val="00624C83"/>
    <w:rsid w:val="006429E9"/>
    <w:rsid w:val="00645AB1"/>
    <w:rsid w:val="006507CC"/>
    <w:rsid w:val="00652DE9"/>
    <w:rsid w:val="00654B0B"/>
    <w:rsid w:val="006573D3"/>
    <w:rsid w:val="0065770F"/>
    <w:rsid w:val="00662861"/>
    <w:rsid w:val="00664DAE"/>
    <w:rsid w:val="00664E52"/>
    <w:rsid w:val="006650AA"/>
    <w:rsid w:val="00665CF0"/>
    <w:rsid w:val="00666417"/>
    <w:rsid w:val="00666B85"/>
    <w:rsid w:val="00674068"/>
    <w:rsid w:val="00676A53"/>
    <w:rsid w:val="00676AD1"/>
    <w:rsid w:val="006804CF"/>
    <w:rsid w:val="00681918"/>
    <w:rsid w:val="00681D0A"/>
    <w:rsid w:val="00684D14"/>
    <w:rsid w:val="0068600B"/>
    <w:rsid w:val="00691A98"/>
    <w:rsid w:val="00695271"/>
    <w:rsid w:val="006960F5"/>
    <w:rsid w:val="006961A2"/>
    <w:rsid w:val="00696216"/>
    <w:rsid w:val="00697181"/>
    <w:rsid w:val="006A0273"/>
    <w:rsid w:val="006A08FF"/>
    <w:rsid w:val="006A0E3F"/>
    <w:rsid w:val="006A16E5"/>
    <w:rsid w:val="006A5321"/>
    <w:rsid w:val="006A538E"/>
    <w:rsid w:val="006B1F43"/>
    <w:rsid w:val="006B54BF"/>
    <w:rsid w:val="006B5DB0"/>
    <w:rsid w:val="006C1D15"/>
    <w:rsid w:val="006C2657"/>
    <w:rsid w:val="006C392D"/>
    <w:rsid w:val="006C4EB8"/>
    <w:rsid w:val="006D1476"/>
    <w:rsid w:val="006D15C1"/>
    <w:rsid w:val="006D259A"/>
    <w:rsid w:val="006E541E"/>
    <w:rsid w:val="006E55CA"/>
    <w:rsid w:val="006E6287"/>
    <w:rsid w:val="006F07CD"/>
    <w:rsid w:val="006F1EC1"/>
    <w:rsid w:val="006F7188"/>
    <w:rsid w:val="00702D5C"/>
    <w:rsid w:val="007046A2"/>
    <w:rsid w:val="00704FED"/>
    <w:rsid w:val="00705185"/>
    <w:rsid w:val="00706AF1"/>
    <w:rsid w:val="00706C1F"/>
    <w:rsid w:val="00707A0C"/>
    <w:rsid w:val="00710534"/>
    <w:rsid w:val="00710C5E"/>
    <w:rsid w:val="00715527"/>
    <w:rsid w:val="007158EE"/>
    <w:rsid w:val="00715B53"/>
    <w:rsid w:val="00723918"/>
    <w:rsid w:val="00723FA1"/>
    <w:rsid w:val="00723FBD"/>
    <w:rsid w:val="00725EEB"/>
    <w:rsid w:val="00727168"/>
    <w:rsid w:val="007314E6"/>
    <w:rsid w:val="0073224C"/>
    <w:rsid w:val="00735577"/>
    <w:rsid w:val="007356D4"/>
    <w:rsid w:val="00741D7D"/>
    <w:rsid w:val="0074509C"/>
    <w:rsid w:val="00746129"/>
    <w:rsid w:val="00746F1C"/>
    <w:rsid w:val="00754991"/>
    <w:rsid w:val="007559F1"/>
    <w:rsid w:val="007575EB"/>
    <w:rsid w:val="007578BF"/>
    <w:rsid w:val="0075797E"/>
    <w:rsid w:val="00757A38"/>
    <w:rsid w:val="00762F1B"/>
    <w:rsid w:val="00763273"/>
    <w:rsid w:val="007639D2"/>
    <w:rsid w:val="00765FB6"/>
    <w:rsid w:val="00767927"/>
    <w:rsid w:val="007703CD"/>
    <w:rsid w:val="00770EDE"/>
    <w:rsid w:val="0078072E"/>
    <w:rsid w:val="007808F0"/>
    <w:rsid w:val="00781238"/>
    <w:rsid w:val="007814EF"/>
    <w:rsid w:val="007868B6"/>
    <w:rsid w:val="00790540"/>
    <w:rsid w:val="007936E5"/>
    <w:rsid w:val="00797286"/>
    <w:rsid w:val="007A17F1"/>
    <w:rsid w:val="007A76F3"/>
    <w:rsid w:val="007A77FC"/>
    <w:rsid w:val="007B16C3"/>
    <w:rsid w:val="007B55AA"/>
    <w:rsid w:val="007B5FFD"/>
    <w:rsid w:val="007B7269"/>
    <w:rsid w:val="007C0352"/>
    <w:rsid w:val="007C6CCD"/>
    <w:rsid w:val="007D156F"/>
    <w:rsid w:val="007E3A43"/>
    <w:rsid w:val="007E5827"/>
    <w:rsid w:val="007E5BB8"/>
    <w:rsid w:val="007F1783"/>
    <w:rsid w:val="007F3417"/>
    <w:rsid w:val="007F70C3"/>
    <w:rsid w:val="00800FF0"/>
    <w:rsid w:val="00801487"/>
    <w:rsid w:val="008039BF"/>
    <w:rsid w:val="00805C67"/>
    <w:rsid w:val="00807210"/>
    <w:rsid w:val="00807262"/>
    <w:rsid w:val="00810FBB"/>
    <w:rsid w:val="008115EC"/>
    <w:rsid w:val="008173AA"/>
    <w:rsid w:val="00817F91"/>
    <w:rsid w:val="00825FBE"/>
    <w:rsid w:val="00830052"/>
    <w:rsid w:val="008321C0"/>
    <w:rsid w:val="0083299A"/>
    <w:rsid w:val="00832C22"/>
    <w:rsid w:val="00846348"/>
    <w:rsid w:val="0084634C"/>
    <w:rsid w:val="00846EE5"/>
    <w:rsid w:val="00851A55"/>
    <w:rsid w:val="00853251"/>
    <w:rsid w:val="00856DAA"/>
    <w:rsid w:val="00857FDA"/>
    <w:rsid w:val="00860473"/>
    <w:rsid w:val="00860AF0"/>
    <w:rsid w:val="00862B2B"/>
    <w:rsid w:val="00863007"/>
    <w:rsid w:val="00870BFC"/>
    <w:rsid w:val="008743ED"/>
    <w:rsid w:val="00874A26"/>
    <w:rsid w:val="008768D9"/>
    <w:rsid w:val="0087751A"/>
    <w:rsid w:val="00881B6D"/>
    <w:rsid w:val="0088497E"/>
    <w:rsid w:val="00887F6C"/>
    <w:rsid w:val="00890DE4"/>
    <w:rsid w:val="00890EC9"/>
    <w:rsid w:val="00892B51"/>
    <w:rsid w:val="00895E59"/>
    <w:rsid w:val="0089799A"/>
    <w:rsid w:val="00897FE2"/>
    <w:rsid w:val="008A0843"/>
    <w:rsid w:val="008A1B7C"/>
    <w:rsid w:val="008A245B"/>
    <w:rsid w:val="008B0024"/>
    <w:rsid w:val="008B6E10"/>
    <w:rsid w:val="008B75F6"/>
    <w:rsid w:val="008C1CD6"/>
    <w:rsid w:val="008C4E96"/>
    <w:rsid w:val="008C6D76"/>
    <w:rsid w:val="008C73AA"/>
    <w:rsid w:val="008C7851"/>
    <w:rsid w:val="008D1B66"/>
    <w:rsid w:val="008D46C9"/>
    <w:rsid w:val="008E3B27"/>
    <w:rsid w:val="008E633E"/>
    <w:rsid w:val="008E7A9D"/>
    <w:rsid w:val="008F0CCE"/>
    <w:rsid w:val="008F266A"/>
    <w:rsid w:val="008F453F"/>
    <w:rsid w:val="009034D2"/>
    <w:rsid w:val="00914B55"/>
    <w:rsid w:val="00922DA4"/>
    <w:rsid w:val="00925461"/>
    <w:rsid w:val="009276AB"/>
    <w:rsid w:val="0093177E"/>
    <w:rsid w:val="009410BE"/>
    <w:rsid w:val="0094260D"/>
    <w:rsid w:val="009466F7"/>
    <w:rsid w:val="00954EF6"/>
    <w:rsid w:val="009558F8"/>
    <w:rsid w:val="00956558"/>
    <w:rsid w:val="00957B92"/>
    <w:rsid w:val="0096446A"/>
    <w:rsid w:val="00965E67"/>
    <w:rsid w:val="00966B36"/>
    <w:rsid w:val="00972680"/>
    <w:rsid w:val="009726CC"/>
    <w:rsid w:val="009727FB"/>
    <w:rsid w:val="00974D53"/>
    <w:rsid w:val="00975758"/>
    <w:rsid w:val="00976C5C"/>
    <w:rsid w:val="00980DE8"/>
    <w:rsid w:val="009838CF"/>
    <w:rsid w:val="0098409F"/>
    <w:rsid w:val="009861D5"/>
    <w:rsid w:val="0099051F"/>
    <w:rsid w:val="009905EE"/>
    <w:rsid w:val="00991928"/>
    <w:rsid w:val="00991B50"/>
    <w:rsid w:val="00993FBF"/>
    <w:rsid w:val="0099576C"/>
    <w:rsid w:val="0099649C"/>
    <w:rsid w:val="009A02E9"/>
    <w:rsid w:val="009A1FDD"/>
    <w:rsid w:val="009A3F08"/>
    <w:rsid w:val="009C4C5F"/>
    <w:rsid w:val="009C5D80"/>
    <w:rsid w:val="009C6222"/>
    <w:rsid w:val="009D0AC2"/>
    <w:rsid w:val="009D0E5D"/>
    <w:rsid w:val="009D1A66"/>
    <w:rsid w:val="009E1878"/>
    <w:rsid w:val="009E3E33"/>
    <w:rsid w:val="009E7CA8"/>
    <w:rsid w:val="00A0296B"/>
    <w:rsid w:val="00A03E34"/>
    <w:rsid w:val="00A0423D"/>
    <w:rsid w:val="00A11A38"/>
    <w:rsid w:val="00A15E01"/>
    <w:rsid w:val="00A228D3"/>
    <w:rsid w:val="00A2436A"/>
    <w:rsid w:val="00A24CF5"/>
    <w:rsid w:val="00A25764"/>
    <w:rsid w:val="00A25A2C"/>
    <w:rsid w:val="00A271BD"/>
    <w:rsid w:val="00A31E55"/>
    <w:rsid w:val="00A320C3"/>
    <w:rsid w:val="00A333D5"/>
    <w:rsid w:val="00A35480"/>
    <w:rsid w:val="00A356C7"/>
    <w:rsid w:val="00A37697"/>
    <w:rsid w:val="00A41ACE"/>
    <w:rsid w:val="00A41FE5"/>
    <w:rsid w:val="00A421F3"/>
    <w:rsid w:val="00A46066"/>
    <w:rsid w:val="00A51130"/>
    <w:rsid w:val="00A51D18"/>
    <w:rsid w:val="00A51ED7"/>
    <w:rsid w:val="00A56427"/>
    <w:rsid w:val="00A56483"/>
    <w:rsid w:val="00A605FD"/>
    <w:rsid w:val="00A60A00"/>
    <w:rsid w:val="00A637FD"/>
    <w:rsid w:val="00A675D2"/>
    <w:rsid w:val="00A7048C"/>
    <w:rsid w:val="00A7068B"/>
    <w:rsid w:val="00A71187"/>
    <w:rsid w:val="00A714D1"/>
    <w:rsid w:val="00A73138"/>
    <w:rsid w:val="00A74C41"/>
    <w:rsid w:val="00A765DD"/>
    <w:rsid w:val="00A76668"/>
    <w:rsid w:val="00A83B92"/>
    <w:rsid w:val="00A858F5"/>
    <w:rsid w:val="00A87540"/>
    <w:rsid w:val="00A94F83"/>
    <w:rsid w:val="00A96526"/>
    <w:rsid w:val="00A970AD"/>
    <w:rsid w:val="00A97762"/>
    <w:rsid w:val="00AA26AF"/>
    <w:rsid w:val="00AB1B03"/>
    <w:rsid w:val="00AB1CF7"/>
    <w:rsid w:val="00AB3308"/>
    <w:rsid w:val="00AB507F"/>
    <w:rsid w:val="00AB538C"/>
    <w:rsid w:val="00AB6980"/>
    <w:rsid w:val="00AC09D9"/>
    <w:rsid w:val="00AC13EB"/>
    <w:rsid w:val="00AC26B2"/>
    <w:rsid w:val="00AC4724"/>
    <w:rsid w:val="00AC4BEE"/>
    <w:rsid w:val="00AC6135"/>
    <w:rsid w:val="00AC7CA0"/>
    <w:rsid w:val="00AD25AA"/>
    <w:rsid w:val="00AD469D"/>
    <w:rsid w:val="00AD552B"/>
    <w:rsid w:val="00AE3EBB"/>
    <w:rsid w:val="00AE4385"/>
    <w:rsid w:val="00AE5F99"/>
    <w:rsid w:val="00AE781D"/>
    <w:rsid w:val="00AF1FE2"/>
    <w:rsid w:val="00AF36BB"/>
    <w:rsid w:val="00AF3E63"/>
    <w:rsid w:val="00AF4056"/>
    <w:rsid w:val="00AF7986"/>
    <w:rsid w:val="00B02668"/>
    <w:rsid w:val="00B03C28"/>
    <w:rsid w:val="00B0487A"/>
    <w:rsid w:val="00B05134"/>
    <w:rsid w:val="00B05770"/>
    <w:rsid w:val="00B0598E"/>
    <w:rsid w:val="00B06FB7"/>
    <w:rsid w:val="00B11085"/>
    <w:rsid w:val="00B15390"/>
    <w:rsid w:val="00B16159"/>
    <w:rsid w:val="00B2268A"/>
    <w:rsid w:val="00B24DE4"/>
    <w:rsid w:val="00B27984"/>
    <w:rsid w:val="00B325FE"/>
    <w:rsid w:val="00B32CED"/>
    <w:rsid w:val="00B342B2"/>
    <w:rsid w:val="00B3495E"/>
    <w:rsid w:val="00B34D33"/>
    <w:rsid w:val="00B3550A"/>
    <w:rsid w:val="00B358C3"/>
    <w:rsid w:val="00B40BEB"/>
    <w:rsid w:val="00B410A4"/>
    <w:rsid w:val="00B4190D"/>
    <w:rsid w:val="00B42333"/>
    <w:rsid w:val="00B42934"/>
    <w:rsid w:val="00B455E4"/>
    <w:rsid w:val="00B4574A"/>
    <w:rsid w:val="00B52D0E"/>
    <w:rsid w:val="00B5365F"/>
    <w:rsid w:val="00B53FE1"/>
    <w:rsid w:val="00B54735"/>
    <w:rsid w:val="00B55961"/>
    <w:rsid w:val="00B56D75"/>
    <w:rsid w:val="00B60271"/>
    <w:rsid w:val="00B64BB7"/>
    <w:rsid w:val="00B675E1"/>
    <w:rsid w:val="00B71A0D"/>
    <w:rsid w:val="00B83490"/>
    <w:rsid w:val="00B83D59"/>
    <w:rsid w:val="00B84062"/>
    <w:rsid w:val="00B92622"/>
    <w:rsid w:val="00B93AFF"/>
    <w:rsid w:val="00B94C93"/>
    <w:rsid w:val="00BA2A00"/>
    <w:rsid w:val="00BA310D"/>
    <w:rsid w:val="00BA64FA"/>
    <w:rsid w:val="00BA6A6C"/>
    <w:rsid w:val="00BB057C"/>
    <w:rsid w:val="00BB2242"/>
    <w:rsid w:val="00BB5C54"/>
    <w:rsid w:val="00BC1516"/>
    <w:rsid w:val="00BC19DD"/>
    <w:rsid w:val="00BC3C0A"/>
    <w:rsid w:val="00BC3C8B"/>
    <w:rsid w:val="00BC72B4"/>
    <w:rsid w:val="00BD2B35"/>
    <w:rsid w:val="00BD4B32"/>
    <w:rsid w:val="00BD52FB"/>
    <w:rsid w:val="00BD61AA"/>
    <w:rsid w:val="00BD65CD"/>
    <w:rsid w:val="00BE6376"/>
    <w:rsid w:val="00BF0585"/>
    <w:rsid w:val="00BF0EF9"/>
    <w:rsid w:val="00BF25FE"/>
    <w:rsid w:val="00BF26A6"/>
    <w:rsid w:val="00C00209"/>
    <w:rsid w:val="00C007AE"/>
    <w:rsid w:val="00C0154C"/>
    <w:rsid w:val="00C029D2"/>
    <w:rsid w:val="00C0526F"/>
    <w:rsid w:val="00C05A3E"/>
    <w:rsid w:val="00C07B32"/>
    <w:rsid w:val="00C10C50"/>
    <w:rsid w:val="00C1110F"/>
    <w:rsid w:val="00C11F63"/>
    <w:rsid w:val="00C13528"/>
    <w:rsid w:val="00C141AC"/>
    <w:rsid w:val="00C15F8B"/>
    <w:rsid w:val="00C15FD6"/>
    <w:rsid w:val="00C16F0C"/>
    <w:rsid w:val="00C20A43"/>
    <w:rsid w:val="00C2221F"/>
    <w:rsid w:val="00C232FF"/>
    <w:rsid w:val="00C2359B"/>
    <w:rsid w:val="00C242C3"/>
    <w:rsid w:val="00C24810"/>
    <w:rsid w:val="00C26827"/>
    <w:rsid w:val="00C27896"/>
    <w:rsid w:val="00C34AE9"/>
    <w:rsid w:val="00C36E38"/>
    <w:rsid w:val="00C37B3E"/>
    <w:rsid w:val="00C43F34"/>
    <w:rsid w:val="00C4506C"/>
    <w:rsid w:val="00C46D6B"/>
    <w:rsid w:val="00C47AA9"/>
    <w:rsid w:val="00C50B69"/>
    <w:rsid w:val="00C556BF"/>
    <w:rsid w:val="00C5606C"/>
    <w:rsid w:val="00C57B38"/>
    <w:rsid w:val="00C63716"/>
    <w:rsid w:val="00C65DF1"/>
    <w:rsid w:val="00C67034"/>
    <w:rsid w:val="00C75BD7"/>
    <w:rsid w:val="00C77262"/>
    <w:rsid w:val="00C779A3"/>
    <w:rsid w:val="00C8276E"/>
    <w:rsid w:val="00C84425"/>
    <w:rsid w:val="00C84527"/>
    <w:rsid w:val="00C84946"/>
    <w:rsid w:val="00C84EDA"/>
    <w:rsid w:val="00C87C0F"/>
    <w:rsid w:val="00C90488"/>
    <w:rsid w:val="00C92675"/>
    <w:rsid w:val="00C9320D"/>
    <w:rsid w:val="00C93A51"/>
    <w:rsid w:val="00C94816"/>
    <w:rsid w:val="00C954EF"/>
    <w:rsid w:val="00C96471"/>
    <w:rsid w:val="00CA3173"/>
    <w:rsid w:val="00CA453A"/>
    <w:rsid w:val="00CA64FE"/>
    <w:rsid w:val="00CB0EF3"/>
    <w:rsid w:val="00CB5EFF"/>
    <w:rsid w:val="00CC21B8"/>
    <w:rsid w:val="00CC30EF"/>
    <w:rsid w:val="00CC6089"/>
    <w:rsid w:val="00CD003C"/>
    <w:rsid w:val="00CD1B12"/>
    <w:rsid w:val="00CD2A5C"/>
    <w:rsid w:val="00CD2B22"/>
    <w:rsid w:val="00CD44BE"/>
    <w:rsid w:val="00CD4E72"/>
    <w:rsid w:val="00CD6DEB"/>
    <w:rsid w:val="00CD71F3"/>
    <w:rsid w:val="00CE018A"/>
    <w:rsid w:val="00CE28B9"/>
    <w:rsid w:val="00CE2F55"/>
    <w:rsid w:val="00CE6763"/>
    <w:rsid w:val="00CF13FE"/>
    <w:rsid w:val="00CF2D28"/>
    <w:rsid w:val="00CF3AE4"/>
    <w:rsid w:val="00CF49DF"/>
    <w:rsid w:val="00CF4F8C"/>
    <w:rsid w:val="00CF7236"/>
    <w:rsid w:val="00D073FC"/>
    <w:rsid w:val="00D1157B"/>
    <w:rsid w:val="00D21EF5"/>
    <w:rsid w:val="00D22252"/>
    <w:rsid w:val="00D2265B"/>
    <w:rsid w:val="00D31D28"/>
    <w:rsid w:val="00D37189"/>
    <w:rsid w:val="00D40254"/>
    <w:rsid w:val="00D405BD"/>
    <w:rsid w:val="00D418D0"/>
    <w:rsid w:val="00D4197F"/>
    <w:rsid w:val="00D41E73"/>
    <w:rsid w:val="00D4323E"/>
    <w:rsid w:val="00D4464E"/>
    <w:rsid w:val="00D45028"/>
    <w:rsid w:val="00D46BC6"/>
    <w:rsid w:val="00D53FD8"/>
    <w:rsid w:val="00D6164F"/>
    <w:rsid w:val="00D647C9"/>
    <w:rsid w:val="00D667C1"/>
    <w:rsid w:val="00D73F97"/>
    <w:rsid w:val="00D74889"/>
    <w:rsid w:val="00D74E76"/>
    <w:rsid w:val="00D818D5"/>
    <w:rsid w:val="00D90D72"/>
    <w:rsid w:val="00D90FA3"/>
    <w:rsid w:val="00D94027"/>
    <w:rsid w:val="00D962B4"/>
    <w:rsid w:val="00D977CF"/>
    <w:rsid w:val="00DA027F"/>
    <w:rsid w:val="00DA1E56"/>
    <w:rsid w:val="00DA5145"/>
    <w:rsid w:val="00DA6169"/>
    <w:rsid w:val="00DB5837"/>
    <w:rsid w:val="00DB6517"/>
    <w:rsid w:val="00DC02B2"/>
    <w:rsid w:val="00DC0DF7"/>
    <w:rsid w:val="00DC35FF"/>
    <w:rsid w:val="00DC69F3"/>
    <w:rsid w:val="00DD05DC"/>
    <w:rsid w:val="00DD0EE6"/>
    <w:rsid w:val="00DD3A42"/>
    <w:rsid w:val="00DD6684"/>
    <w:rsid w:val="00DD6B7A"/>
    <w:rsid w:val="00DE1629"/>
    <w:rsid w:val="00DE67C6"/>
    <w:rsid w:val="00DF49AF"/>
    <w:rsid w:val="00DF4DC6"/>
    <w:rsid w:val="00DF713F"/>
    <w:rsid w:val="00DF7B61"/>
    <w:rsid w:val="00DF7D7E"/>
    <w:rsid w:val="00E022C6"/>
    <w:rsid w:val="00E05779"/>
    <w:rsid w:val="00E05A33"/>
    <w:rsid w:val="00E12351"/>
    <w:rsid w:val="00E12601"/>
    <w:rsid w:val="00E14326"/>
    <w:rsid w:val="00E152EC"/>
    <w:rsid w:val="00E1659C"/>
    <w:rsid w:val="00E17305"/>
    <w:rsid w:val="00E208A0"/>
    <w:rsid w:val="00E21CBF"/>
    <w:rsid w:val="00E32DD9"/>
    <w:rsid w:val="00E33B02"/>
    <w:rsid w:val="00E346B5"/>
    <w:rsid w:val="00E373A6"/>
    <w:rsid w:val="00E4440D"/>
    <w:rsid w:val="00E479F3"/>
    <w:rsid w:val="00E47E9C"/>
    <w:rsid w:val="00E5181A"/>
    <w:rsid w:val="00E5220C"/>
    <w:rsid w:val="00E52AFA"/>
    <w:rsid w:val="00E6377D"/>
    <w:rsid w:val="00E647C0"/>
    <w:rsid w:val="00E66AA4"/>
    <w:rsid w:val="00E66C19"/>
    <w:rsid w:val="00E74070"/>
    <w:rsid w:val="00E7421D"/>
    <w:rsid w:val="00E75441"/>
    <w:rsid w:val="00E761C2"/>
    <w:rsid w:val="00E80E5B"/>
    <w:rsid w:val="00E815F0"/>
    <w:rsid w:val="00E94822"/>
    <w:rsid w:val="00E97BBC"/>
    <w:rsid w:val="00E97D62"/>
    <w:rsid w:val="00EA5FDC"/>
    <w:rsid w:val="00EB1407"/>
    <w:rsid w:val="00EB18F9"/>
    <w:rsid w:val="00EB2AD2"/>
    <w:rsid w:val="00EB2B1C"/>
    <w:rsid w:val="00EB31FD"/>
    <w:rsid w:val="00EC155D"/>
    <w:rsid w:val="00EC6DF2"/>
    <w:rsid w:val="00ED14E8"/>
    <w:rsid w:val="00ED1FE9"/>
    <w:rsid w:val="00EE5099"/>
    <w:rsid w:val="00EE596B"/>
    <w:rsid w:val="00EF11F7"/>
    <w:rsid w:val="00EF2DC0"/>
    <w:rsid w:val="00F0497B"/>
    <w:rsid w:val="00F0719B"/>
    <w:rsid w:val="00F11E61"/>
    <w:rsid w:val="00F14449"/>
    <w:rsid w:val="00F1564B"/>
    <w:rsid w:val="00F22520"/>
    <w:rsid w:val="00F22CAB"/>
    <w:rsid w:val="00F37F06"/>
    <w:rsid w:val="00F4228D"/>
    <w:rsid w:val="00F502E4"/>
    <w:rsid w:val="00F5385D"/>
    <w:rsid w:val="00F63C78"/>
    <w:rsid w:val="00F6513E"/>
    <w:rsid w:val="00F66D8E"/>
    <w:rsid w:val="00F70A91"/>
    <w:rsid w:val="00F71467"/>
    <w:rsid w:val="00F75834"/>
    <w:rsid w:val="00F80877"/>
    <w:rsid w:val="00F81B81"/>
    <w:rsid w:val="00F83412"/>
    <w:rsid w:val="00F84AD5"/>
    <w:rsid w:val="00F85E41"/>
    <w:rsid w:val="00F90DBA"/>
    <w:rsid w:val="00F92125"/>
    <w:rsid w:val="00F94A8F"/>
    <w:rsid w:val="00F96423"/>
    <w:rsid w:val="00FA45FA"/>
    <w:rsid w:val="00FA69C2"/>
    <w:rsid w:val="00FB0D30"/>
    <w:rsid w:val="00FB1122"/>
    <w:rsid w:val="00FB75FD"/>
    <w:rsid w:val="00FC0AB6"/>
    <w:rsid w:val="00FD14D3"/>
    <w:rsid w:val="00FD1716"/>
    <w:rsid w:val="00FD26ED"/>
    <w:rsid w:val="00FE59C2"/>
    <w:rsid w:val="00FF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36E8D"/>
  <w15:docId w15:val="{6695E289-A649-408A-9408-5A8A3A00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1CE"/>
  </w:style>
  <w:style w:type="paragraph" w:styleId="Heading1">
    <w:name w:val="heading 1"/>
    <w:basedOn w:val="Normal"/>
    <w:next w:val="Normal"/>
    <w:link w:val="Heading1Char"/>
    <w:uiPriority w:val="9"/>
    <w:qFormat/>
    <w:rsid w:val="004C0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autoRedefine/>
    <w:uiPriority w:val="9"/>
    <w:qFormat/>
    <w:rsid w:val="004C01CE"/>
    <w:pPr>
      <w:keepNext/>
      <w:spacing w:before="100" w:beforeAutospacing="1" w:after="100" w:afterAutospacing="1" w:line="240" w:lineRule="auto"/>
      <w:outlineLvl w:val="1"/>
    </w:pPr>
    <w:rPr>
      <w:rFonts w:ascii="Times New Roman" w:eastAsiaTheme="majorEastAsia" w:hAnsi="Times New Roman" w:cstheme="majorBidi"/>
      <w:b/>
      <w:bCs/>
      <w:color w:val="4F81BD" w:themeColor="accent1"/>
      <w:sz w:val="24"/>
      <w:szCs w:val="36"/>
    </w:rPr>
  </w:style>
  <w:style w:type="paragraph" w:styleId="Heading3">
    <w:name w:val="heading 3"/>
    <w:basedOn w:val="Normal"/>
    <w:next w:val="Normal"/>
    <w:link w:val="Heading3Char"/>
    <w:uiPriority w:val="9"/>
    <w:semiHidden/>
    <w:unhideWhenUsed/>
    <w:qFormat/>
    <w:rsid w:val="004C01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01C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01C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01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01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01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01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1CE"/>
    <w:rPr>
      <w:rFonts w:ascii="Times New Roman" w:eastAsiaTheme="majorEastAsia" w:hAnsi="Times New Roman" w:cstheme="majorBidi"/>
      <w:b/>
      <w:bCs/>
      <w:color w:val="4F81BD" w:themeColor="accent1"/>
      <w:sz w:val="24"/>
      <w:szCs w:val="36"/>
    </w:rPr>
  </w:style>
  <w:style w:type="paragraph" w:styleId="NormalWeb">
    <w:name w:val="Normal (Web)"/>
    <w:basedOn w:val="Normal"/>
    <w:uiPriority w:val="99"/>
    <w:unhideWhenUsed/>
    <w:rsid w:val="00161C8B"/>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61C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1C8B"/>
  </w:style>
  <w:style w:type="paragraph" w:styleId="Footer">
    <w:name w:val="footer"/>
    <w:basedOn w:val="Normal"/>
    <w:link w:val="FooterChar"/>
    <w:uiPriority w:val="99"/>
    <w:unhideWhenUsed/>
    <w:rsid w:val="00161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8B"/>
  </w:style>
  <w:style w:type="paragraph" w:styleId="ListParagraph">
    <w:name w:val="List Paragraph"/>
    <w:basedOn w:val="Normal"/>
    <w:link w:val="ListParagraphChar"/>
    <w:uiPriority w:val="34"/>
    <w:qFormat/>
    <w:rsid w:val="004C01CE"/>
    <w:pPr>
      <w:ind w:left="720"/>
      <w:contextualSpacing/>
    </w:pPr>
  </w:style>
  <w:style w:type="character" w:customStyle="1" w:styleId="ListParagraphChar">
    <w:name w:val="List Paragraph Char"/>
    <w:basedOn w:val="DefaultParagraphFont"/>
    <w:link w:val="ListParagraph"/>
    <w:uiPriority w:val="34"/>
    <w:rsid w:val="004C01CE"/>
  </w:style>
  <w:style w:type="character" w:customStyle="1" w:styleId="Heading1Char">
    <w:name w:val="Heading 1 Char"/>
    <w:basedOn w:val="DefaultParagraphFont"/>
    <w:link w:val="Heading1"/>
    <w:uiPriority w:val="9"/>
    <w:rsid w:val="004C01C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74E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C01CE"/>
    <w:rPr>
      <w:b/>
      <w:bCs/>
    </w:rPr>
  </w:style>
  <w:style w:type="paragraph" w:customStyle="1" w:styleId="sBullet">
    <w:name w:val="sBullet"/>
    <w:basedOn w:val="ListParagraph"/>
    <w:link w:val="sBulletChar"/>
    <w:rsid w:val="00D74E76"/>
    <w:pPr>
      <w:keepNext/>
      <w:keepLines/>
      <w:numPr>
        <w:numId w:val="2"/>
      </w:numPr>
      <w:spacing w:after="0" w:line="240" w:lineRule="auto"/>
    </w:pPr>
    <w:rPr>
      <w:color w:val="000000" w:themeColor="text1"/>
      <w:sz w:val="16"/>
      <w:szCs w:val="16"/>
    </w:rPr>
  </w:style>
  <w:style w:type="character" w:customStyle="1" w:styleId="sBulletChar">
    <w:name w:val="sBullet Char"/>
    <w:basedOn w:val="ListParagraphChar"/>
    <w:link w:val="sBullet"/>
    <w:rsid w:val="00D74E76"/>
    <w:rPr>
      <w:color w:val="000000" w:themeColor="text1"/>
      <w:sz w:val="16"/>
      <w:szCs w:val="16"/>
    </w:rPr>
  </w:style>
  <w:style w:type="paragraph" w:styleId="BodyText">
    <w:name w:val="Body Text"/>
    <w:basedOn w:val="Normal"/>
    <w:link w:val="BodyTextChar"/>
    <w:rsid w:val="00C26827"/>
    <w:pPr>
      <w:widowControl w:val="0"/>
      <w:spacing w:after="0" w:line="240" w:lineRule="auto"/>
      <w:jc w:val="both"/>
    </w:pPr>
    <w:rPr>
      <w:rFonts w:ascii="MS PGothic" w:eastAsia="MS PGothic" w:hAnsi="Century" w:cs="MS PGothic"/>
      <w:kern w:val="2"/>
      <w:lang w:eastAsia="ja-JP"/>
    </w:rPr>
  </w:style>
  <w:style w:type="character" w:customStyle="1" w:styleId="BodyTextChar">
    <w:name w:val="Body Text Char"/>
    <w:basedOn w:val="DefaultParagraphFont"/>
    <w:link w:val="BodyText"/>
    <w:rsid w:val="00C26827"/>
    <w:rPr>
      <w:rFonts w:ascii="MS PGothic" w:eastAsia="MS PGothic" w:hAnsi="Century" w:cs="MS PGothic"/>
      <w:kern w:val="2"/>
      <w:lang w:eastAsia="ja-JP"/>
    </w:rPr>
  </w:style>
  <w:style w:type="paragraph" w:styleId="BalloonText">
    <w:name w:val="Balloon Text"/>
    <w:basedOn w:val="Normal"/>
    <w:link w:val="BalloonTextChar"/>
    <w:uiPriority w:val="99"/>
    <w:semiHidden/>
    <w:unhideWhenUsed/>
    <w:rsid w:val="001A6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800"/>
    <w:rPr>
      <w:rFonts w:ascii="Tahoma" w:hAnsi="Tahoma" w:cs="Tahoma"/>
      <w:sz w:val="16"/>
      <w:szCs w:val="16"/>
    </w:rPr>
  </w:style>
  <w:style w:type="character" w:customStyle="1" w:styleId="Heading3Char">
    <w:name w:val="Heading 3 Char"/>
    <w:basedOn w:val="DefaultParagraphFont"/>
    <w:link w:val="Heading3"/>
    <w:uiPriority w:val="9"/>
    <w:semiHidden/>
    <w:rsid w:val="004C01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01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C01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01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01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01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01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C01CE"/>
    <w:pPr>
      <w:spacing w:line="240" w:lineRule="auto"/>
    </w:pPr>
    <w:rPr>
      <w:b/>
      <w:bCs/>
      <w:color w:val="4F81BD" w:themeColor="accent1"/>
      <w:sz w:val="18"/>
      <w:szCs w:val="18"/>
    </w:rPr>
  </w:style>
  <w:style w:type="paragraph" w:styleId="Title">
    <w:name w:val="Title"/>
    <w:basedOn w:val="Normal"/>
    <w:next w:val="Normal"/>
    <w:link w:val="TitleChar"/>
    <w:uiPriority w:val="10"/>
    <w:qFormat/>
    <w:rsid w:val="004C01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01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C01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C01C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C01CE"/>
    <w:rPr>
      <w:i/>
      <w:iCs/>
    </w:rPr>
  </w:style>
  <w:style w:type="paragraph" w:styleId="NoSpacing">
    <w:name w:val="No Spacing"/>
    <w:link w:val="NoSpacingChar"/>
    <w:uiPriority w:val="1"/>
    <w:qFormat/>
    <w:rsid w:val="004C01CE"/>
    <w:pPr>
      <w:spacing w:after="0" w:line="240" w:lineRule="auto"/>
    </w:pPr>
  </w:style>
  <w:style w:type="character" w:customStyle="1" w:styleId="NoSpacingChar">
    <w:name w:val="No Spacing Char"/>
    <w:basedOn w:val="DefaultParagraphFont"/>
    <w:link w:val="NoSpacing"/>
    <w:uiPriority w:val="1"/>
    <w:rsid w:val="004C01CE"/>
  </w:style>
  <w:style w:type="paragraph" w:styleId="Quote">
    <w:name w:val="Quote"/>
    <w:basedOn w:val="Normal"/>
    <w:next w:val="Normal"/>
    <w:link w:val="QuoteChar"/>
    <w:uiPriority w:val="29"/>
    <w:qFormat/>
    <w:rsid w:val="004C01CE"/>
    <w:rPr>
      <w:i/>
      <w:iCs/>
      <w:color w:val="000000" w:themeColor="text1"/>
    </w:rPr>
  </w:style>
  <w:style w:type="character" w:customStyle="1" w:styleId="QuoteChar">
    <w:name w:val="Quote Char"/>
    <w:basedOn w:val="DefaultParagraphFont"/>
    <w:link w:val="Quote"/>
    <w:uiPriority w:val="29"/>
    <w:rsid w:val="004C01CE"/>
    <w:rPr>
      <w:i/>
      <w:iCs/>
      <w:color w:val="000000" w:themeColor="text1"/>
    </w:rPr>
  </w:style>
  <w:style w:type="paragraph" w:styleId="IntenseQuote">
    <w:name w:val="Intense Quote"/>
    <w:basedOn w:val="Normal"/>
    <w:next w:val="Normal"/>
    <w:link w:val="IntenseQuoteChar"/>
    <w:uiPriority w:val="30"/>
    <w:qFormat/>
    <w:rsid w:val="004C01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01CE"/>
    <w:rPr>
      <w:b/>
      <w:bCs/>
      <w:i/>
      <w:iCs/>
      <w:color w:val="4F81BD" w:themeColor="accent1"/>
    </w:rPr>
  </w:style>
  <w:style w:type="character" w:styleId="SubtleEmphasis">
    <w:name w:val="Subtle Emphasis"/>
    <w:basedOn w:val="DefaultParagraphFont"/>
    <w:uiPriority w:val="19"/>
    <w:qFormat/>
    <w:rsid w:val="004C01CE"/>
    <w:rPr>
      <w:i/>
      <w:iCs/>
      <w:color w:val="808080" w:themeColor="text1" w:themeTint="7F"/>
    </w:rPr>
  </w:style>
  <w:style w:type="character" w:styleId="IntenseEmphasis">
    <w:name w:val="Intense Emphasis"/>
    <w:basedOn w:val="DefaultParagraphFont"/>
    <w:uiPriority w:val="21"/>
    <w:qFormat/>
    <w:rsid w:val="004C01CE"/>
    <w:rPr>
      <w:b/>
      <w:bCs/>
      <w:i/>
      <w:iCs/>
      <w:color w:val="4F81BD" w:themeColor="accent1"/>
    </w:rPr>
  </w:style>
  <w:style w:type="character" w:styleId="SubtleReference">
    <w:name w:val="Subtle Reference"/>
    <w:basedOn w:val="DefaultParagraphFont"/>
    <w:uiPriority w:val="31"/>
    <w:qFormat/>
    <w:rsid w:val="004C01CE"/>
    <w:rPr>
      <w:smallCaps/>
      <w:color w:val="C0504D" w:themeColor="accent2"/>
      <w:u w:val="single"/>
    </w:rPr>
  </w:style>
  <w:style w:type="character" w:styleId="IntenseReference">
    <w:name w:val="Intense Reference"/>
    <w:basedOn w:val="DefaultParagraphFont"/>
    <w:uiPriority w:val="32"/>
    <w:qFormat/>
    <w:rsid w:val="004C01CE"/>
    <w:rPr>
      <w:b/>
      <w:bCs/>
      <w:smallCaps/>
      <w:color w:val="C0504D" w:themeColor="accent2"/>
      <w:spacing w:val="5"/>
      <w:u w:val="single"/>
    </w:rPr>
  </w:style>
  <w:style w:type="character" w:styleId="BookTitle">
    <w:name w:val="Book Title"/>
    <w:basedOn w:val="DefaultParagraphFont"/>
    <w:uiPriority w:val="33"/>
    <w:qFormat/>
    <w:rsid w:val="004C01CE"/>
    <w:rPr>
      <w:b/>
      <w:bCs/>
      <w:smallCaps/>
      <w:spacing w:val="5"/>
    </w:rPr>
  </w:style>
  <w:style w:type="paragraph" w:styleId="TOCHeading">
    <w:name w:val="TOC Heading"/>
    <w:basedOn w:val="Heading1"/>
    <w:next w:val="Normal"/>
    <w:uiPriority w:val="39"/>
    <w:semiHidden/>
    <w:unhideWhenUsed/>
    <w:qFormat/>
    <w:rsid w:val="004C01CE"/>
    <w:pPr>
      <w:outlineLvl w:val="9"/>
    </w:pPr>
  </w:style>
  <w:style w:type="paragraph" w:styleId="TOC1">
    <w:name w:val="toc 1"/>
    <w:basedOn w:val="Normal"/>
    <w:next w:val="Normal"/>
    <w:autoRedefine/>
    <w:uiPriority w:val="39"/>
    <w:unhideWhenUsed/>
    <w:rsid w:val="004C2E65"/>
    <w:pPr>
      <w:spacing w:after="100"/>
    </w:pPr>
  </w:style>
  <w:style w:type="character" w:styleId="Hyperlink">
    <w:name w:val="Hyperlink"/>
    <w:basedOn w:val="DefaultParagraphFont"/>
    <w:uiPriority w:val="99"/>
    <w:unhideWhenUsed/>
    <w:rsid w:val="004C2E65"/>
    <w:rPr>
      <w:color w:val="0000FF" w:themeColor="hyperlink"/>
      <w:u w:val="single"/>
    </w:rPr>
  </w:style>
  <w:style w:type="character" w:customStyle="1" w:styleId="apple-style-span">
    <w:name w:val="apple-style-span"/>
    <w:basedOn w:val="DefaultParagraphFont"/>
    <w:rsid w:val="009A02E9"/>
  </w:style>
  <w:style w:type="character" w:customStyle="1" w:styleId="apple-converted-space">
    <w:name w:val="apple-converted-space"/>
    <w:basedOn w:val="DefaultParagraphFont"/>
    <w:rsid w:val="00605896"/>
  </w:style>
  <w:style w:type="character" w:styleId="FollowedHyperlink">
    <w:name w:val="FollowedHyperlink"/>
    <w:basedOn w:val="DefaultParagraphFont"/>
    <w:uiPriority w:val="99"/>
    <w:semiHidden/>
    <w:unhideWhenUsed/>
    <w:rsid w:val="00C75BD7"/>
    <w:rPr>
      <w:color w:val="800080" w:themeColor="followedHyperlink"/>
      <w:u w:val="single"/>
    </w:rPr>
  </w:style>
  <w:style w:type="paragraph" w:customStyle="1" w:styleId="normalnotoc">
    <w:name w:val="normal no toc"/>
    <w:basedOn w:val="Normal"/>
    <w:link w:val="normalnotocChar"/>
    <w:rsid w:val="00767927"/>
    <w:pPr>
      <w:jc w:val="center"/>
    </w:pPr>
    <w:rPr>
      <w:rFonts w:eastAsia="Calibri"/>
      <w:color w:val="000000"/>
    </w:rPr>
  </w:style>
  <w:style w:type="character" w:customStyle="1" w:styleId="normalnotocChar">
    <w:name w:val="normal no toc Char"/>
    <w:basedOn w:val="DefaultParagraphFont"/>
    <w:link w:val="normalnotoc"/>
    <w:rsid w:val="00767927"/>
    <w:rPr>
      <w:rFonts w:eastAsia="Calibri"/>
      <w:color w:val="000000"/>
    </w:rPr>
  </w:style>
  <w:style w:type="paragraph" w:styleId="HTMLPreformatted">
    <w:name w:val="HTML Preformatted"/>
    <w:basedOn w:val="Normal"/>
    <w:link w:val="HTMLPreformattedChar"/>
    <w:uiPriority w:val="99"/>
    <w:unhideWhenUsed/>
    <w:rsid w:val="00191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13B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155328">
      <w:bodyDiv w:val="1"/>
      <w:marLeft w:val="0"/>
      <w:marRight w:val="0"/>
      <w:marTop w:val="0"/>
      <w:marBottom w:val="0"/>
      <w:divBdr>
        <w:top w:val="none" w:sz="0" w:space="0" w:color="auto"/>
        <w:left w:val="none" w:sz="0" w:space="0" w:color="auto"/>
        <w:bottom w:val="none" w:sz="0" w:space="0" w:color="auto"/>
        <w:right w:val="none" w:sz="0" w:space="0" w:color="auto"/>
      </w:divBdr>
    </w:div>
    <w:div w:id="332532629">
      <w:bodyDiv w:val="1"/>
      <w:marLeft w:val="0"/>
      <w:marRight w:val="0"/>
      <w:marTop w:val="0"/>
      <w:marBottom w:val="0"/>
      <w:divBdr>
        <w:top w:val="none" w:sz="0" w:space="0" w:color="auto"/>
        <w:left w:val="none" w:sz="0" w:space="0" w:color="auto"/>
        <w:bottom w:val="none" w:sz="0" w:space="0" w:color="auto"/>
        <w:right w:val="none" w:sz="0" w:space="0" w:color="auto"/>
      </w:divBdr>
    </w:div>
    <w:div w:id="519054727">
      <w:bodyDiv w:val="1"/>
      <w:marLeft w:val="0"/>
      <w:marRight w:val="0"/>
      <w:marTop w:val="0"/>
      <w:marBottom w:val="0"/>
      <w:divBdr>
        <w:top w:val="none" w:sz="0" w:space="0" w:color="auto"/>
        <w:left w:val="none" w:sz="0" w:space="0" w:color="auto"/>
        <w:bottom w:val="none" w:sz="0" w:space="0" w:color="auto"/>
        <w:right w:val="none" w:sz="0" w:space="0" w:color="auto"/>
      </w:divBdr>
    </w:div>
    <w:div w:id="539438100">
      <w:bodyDiv w:val="1"/>
      <w:marLeft w:val="0"/>
      <w:marRight w:val="0"/>
      <w:marTop w:val="0"/>
      <w:marBottom w:val="0"/>
      <w:divBdr>
        <w:top w:val="none" w:sz="0" w:space="0" w:color="auto"/>
        <w:left w:val="none" w:sz="0" w:space="0" w:color="auto"/>
        <w:bottom w:val="none" w:sz="0" w:space="0" w:color="auto"/>
        <w:right w:val="none" w:sz="0" w:space="0" w:color="auto"/>
      </w:divBdr>
    </w:div>
    <w:div w:id="779682565">
      <w:bodyDiv w:val="1"/>
      <w:marLeft w:val="0"/>
      <w:marRight w:val="0"/>
      <w:marTop w:val="0"/>
      <w:marBottom w:val="0"/>
      <w:divBdr>
        <w:top w:val="none" w:sz="0" w:space="0" w:color="auto"/>
        <w:left w:val="none" w:sz="0" w:space="0" w:color="auto"/>
        <w:bottom w:val="none" w:sz="0" w:space="0" w:color="auto"/>
        <w:right w:val="none" w:sz="0" w:space="0" w:color="auto"/>
      </w:divBdr>
    </w:div>
    <w:div w:id="860975366">
      <w:bodyDiv w:val="1"/>
      <w:marLeft w:val="0"/>
      <w:marRight w:val="0"/>
      <w:marTop w:val="0"/>
      <w:marBottom w:val="0"/>
      <w:divBdr>
        <w:top w:val="none" w:sz="0" w:space="0" w:color="auto"/>
        <w:left w:val="none" w:sz="0" w:space="0" w:color="auto"/>
        <w:bottom w:val="none" w:sz="0" w:space="0" w:color="auto"/>
        <w:right w:val="none" w:sz="0" w:space="0" w:color="auto"/>
      </w:divBdr>
    </w:div>
    <w:div w:id="931671050">
      <w:bodyDiv w:val="1"/>
      <w:marLeft w:val="0"/>
      <w:marRight w:val="0"/>
      <w:marTop w:val="0"/>
      <w:marBottom w:val="0"/>
      <w:divBdr>
        <w:top w:val="none" w:sz="0" w:space="0" w:color="auto"/>
        <w:left w:val="none" w:sz="0" w:space="0" w:color="auto"/>
        <w:bottom w:val="none" w:sz="0" w:space="0" w:color="auto"/>
        <w:right w:val="none" w:sz="0" w:space="0" w:color="auto"/>
      </w:divBdr>
    </w:div>
    <w:div w:id="1141115550">
      <w:bodyDiv w:val="1"/>
      <w:marLeft w:val="0"/>
      <w:marRight w:val="0"/>
      <w:marTop w:val="0"/>
      <w:marBottom w:val="0"/>
      <w:divBdr>
        <w:top w:val="none" w:sz="0" w:space="0" w:color="auto"/>
        <w:left w:val="none" w:sz="0" w:space="0" w:color="auto"/>
        <w:bottom w:val="none" w:sz="0" w:space="0" w:color="auto"/>
        <w:right w:val="none" w:sz="0" w:space="0" w:color="auto"/>
      </w:divBdr>
    </w:div>
    <w:div w:id="1159345901">
      <w:bodyDiv w:val="1"/>
      <w:marLeft w:val="0"/>
      <w:marRight w:val="0"/>
      <w:marTop w:val="0"/>
      <w:marBottom w:val="0"/>
      <w:divBdr>
        <w:top w:val="none" w:sz="0" w:space="0" w:color="auto"/>
        <w:left w:val="none" w:sz="0" w:space="0" w:color="auto"/>
        <w:bottom w:val="none" w:sz="0" w:space="0" w:color="auto"/>
        <w:right w:val="none" w:sz="0" w:space="0" w:color="auto"/>
      </w:divBdr>
    </w:div>
    <w:div w:id="1424179278">
      <w:bodyDiv w:val="1"/>
      <w:marLeft w:val="0"/>
      <w:marRight w:val="0"/>
      <w:marTop w:val="0"/>
      <w:marBottom w:val="0"/>
      <w:divBdr>
        <w:top w:val="none" w:sz="0" w:space="0" w:color="auto"/>
        <w:left w:val="none" w:sz="0" w:space="0" w:color="auto"/>
        <w:bottom w:val="none" w:sz="0" w:space="0" w:color="auto"/>
        <w:right w:val="none" w:sz="0" w:space="0" w:color="auto"/>
      </w:divBdr>
    </w:div>
    <w:div w:id="1795513897">
      <w:bodyDiv w:val="1"/>
      <w:marLeft w:val="0"/>
      <w:marRight w:val="0"/>
      <w:marTop w:val="0"/>
      <w:marBottom w:val="0"/>
      <w:divBdr>
        <w:top w:val="none" w:sz="0" w:space="0" w:color="auto"/>
        <w:left w:val="none" w:sz="0" w:space="0" w:color="auto"/>
        <w:bottom w:val="none" w:sz="0" w:space="0" w:color="auto"/>
        <w:right w:val="none" w:sz="0" w:space="0" w:color="auto"/>
      </w:divBdr>
    </w:div>
    <w:div w:id="1993483409">
      <w:bodyDiv w:val="1"/>
      <w:marLeft w:val="0"/>
      <w:marRight w:val="0"/>
      <w:marTop w:val="0"/>
      <w:marBottom w:val="0"/>
      <w:divBdr>
        <w:top w:val="none" w:sz="0" w:space="0" w:color="auto"/>
        <w:left w:val="none" w:sz="0" w:space="0" w:color="auto"/>
        <w:bottom w:val="none" w:sz="0" w:space="0" w:color="auto"/>
        <w:right w:val="none" w:sz="0" w:space="0" w:color="auto"/>
      </w:divBdr>
    </w:div>
    <w:div w:id="2019847895">
      <w:bodyDiv w:val="1"/>
      <w:marLeft w:val="0"/>
      <w:marRight w:val="0"/>
      <w:marTop w:val="0"/>
      <w:marBottom w:val="0"/>
      <w:divBdr>
        <w:top w:val="none" w:sz="0" w:space="0" w:color="auto"/>
        <w:left w:val="none" w:sz="0" w:space="0" w:color="auto"/>
        <w:bottom w:val="none" w:sz="0" w:space="0" w:color="auto"/>
        <w:right w:val="none" w:sz="0" w:space="0" w:color="auto"/>
      </w:divBdr>
    </w:div>
    <w:div w:id="2028218182">
      <w:bodyDiv w:val="1"/>
      <w:marLeft w:val="0"/>
      <w:marRight w:val="0"/>
      <w:marTop w:val="0"/>
      <w:marBottom w:val="0"/>
      <w:divBdr>
        <w:top w:val="none" w:sz="0" w:space="0" w:color="auto"/>
        <w:left w:val="none" w:sz="0" w:space="0" w:color="auto"/>
        <w:bottom w:val="none" w:sz="0" w:space="0" w:color="auto"/>
        <w:right w:val="none" w:sz="0" w:space="0" w:color="auto"/>
      </w:divBdr>
    </w:div>
    <w:div w:id="21194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5B4D845A396479AE1796C4C30B1BA" ma:contentTypeVersion="1" ma:contentTypeDescription="Create a new document." ma:contentTypeScope="" ma:versionID="273f6a518f96d9617908aaf7092c74e1">
  <xsd:schema xmlns:xsd="http://www.w3.org/2001/XMLSchema" xmlns:xs="http://www.w3.org/2001/XMLSchema" xmlns:p="http://schemas.microsoft.com/office/2006/metadata/properties" xmlns:ns2="f435c9de-e7f2-4085-baeb-10d23fe210a9" targetNamespace="http://schemas.microsoft.com/office/2006/metadata/properties" ma:root="true" ma:fieldsID="9fb2e7c45e959f5a7c827543c327df0c" ns2:_="">
    <xsd:import namespace="f435c9de-e7f2-4085-baeb-10d23fe210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5c9de-e7f2-4085-baeb-10d23fe210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435c9de-e7f2-4085-baeb-10d23fe210a9">5MHAA6YEUPXN-8-87</_dlc_DocId>
    <_dlc_DocIdUrl xmlns="f435c9de-e7f2-4085-baeb-10d23fe210a9">
      <Url>http://sharepoint.xrite.com/sites/IMS/_layouts/DocIdRedir.aspx?ID=5MHAA6YEUPXN-8-87</Url>
      <Description>5MHAA6YEUPXN-8-87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7D2D4-2528-4664-A303-90E33E05A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5c9de-e7f2-4085-baeb-10d23fe21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A249E-59FA-407F-874D-79C63A7E99B5}">
  <ds:schemaRefs>
    <ds:schemaRef ds:uri="http://schemas.microsoft.com/sharepoint/v3/contenttype/forms"/>
  </ds:schemaRefs>
</ds:datastoreItem>
</file>

<file path=customXml/itemProps3.xml><?xml version="1.0" encoding="utf-8"?>
<ds:datastoreItem xmlns:ds="http://schemas.openxmlformats.org/officeDocument/2006/customXml" ds:itemID="{66DE94B1-AA9B-44F0-9D16-D387015DC8C3}">
  <ds:schemaRefs>
    <ds:schemaRef ds:uri="http://schemas.microsoft.com/office/2006/metadata/properties"/>
    <ds:schemaRef ds:uri="http://schemas.microsoft.com/office/infopath/2007/PartnerControls"/>
    <ds:schemaRef ds:uri="f435c9de-e7f2-4085-baeb-10d23fe210a9"/>
  </ds:schemaRefs>
</ds:datastoreItem>
</file>

<file path=customXml/itemProps4.xml><?xml version="1.0" encoding="utf-8"?>
<ds:datastoreItem xmlns:ds="http://schemas.openxmlformats.org/officeDocument/2006/customXml" ds:itemID="{D82BDA18-6042-4091-AA8B-A99E9FAD2CE4}">
  <ds:schemaRefs>
    <ds:schemaRef ds:uri="http://schemas.microsoft.com/sharepoint/events"/>
  </ds:schemaRefs>
</ds:datastoreItem>
</file>

<file path=customXml/itemProps5.xml><?xml version="1.0" encoding="utf-8"?>
<ds:datastoreItem xmlns:ds="http://schemas.openxmlformats.org/officeDocument/2006/customXml" ds:itemID="{F5A37661-F4A7-46D4-8FAA-7AF86C52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X-Rite</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StevenWiley</dc:creator>
  <cp:lastModifiedBy>Swanson, John</cp:lastModifiedBy>
  <cp:revision>2</cp:revision>
  <cp:lastPrinted>2018-06-27T19:25:00Z</cp:lastPrinted>
  <dcterms:created xsi:type="dcterms:W3CDTF">2019-07-24T11:39:00Z</dcterms:created>
  <dcterms:modified xsi:type="dcterms:W3CDTF">2019-07-24T11:39:00Z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0x01010095E5B4D845A396479AE1796C4C30B1BA</vt:lpwstr>
  </property>
  <property fmtid="{D5CDD505-2E9C-101B-9397-08002B2CF9AE}" pid="3" name="_dlc_DocIdItemGuid">
    <vt:lpwstr>7a4fffd7-886f-4e83-a844-4703d52048b4</vt:lpwstr>
  </property>
</Properties>
</file>